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브리핑 — (주)안랩 경영리스크 진단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(주)안랩 (종목코드 053800, 사업자등록번호 214-81-83536)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대표이사</w:t>
      </w:r>
      <w:r>
        <w:t xml:space="preserve">: 강석균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진단 기준</w:t>
      </w:r>
      <w:r>
        <w:t xml:space="preserve">: 2025 사업연도 연결재무제표(CFS) 공시 데이터 + 최근 90일 공시 이력 + 거시지표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작성일</w:t>
      </w:r>
      <w:r>
        <w:t xml:space="preserve">: 2026-07-15</w:t>
      </w:r>
    </w:p>
    <w:p>
      <w:pPr>
        <w:pStyle w:val="Heading1"/>
      </w:pPr>
      <w:r>
        <w:rPr>
          <w:b/>
          <w:color w:val="1B2A4A"/>
        </w:rPr>
        <w:t xml:space="preserve">1. 종합 판단</w:t>
      </w:r>
    </w:p>
    <w:p>
      <w:pPr>
        <w:jc w:val="both"/>
      </w:pPr>
      <w:r>
        <w:t xml:space="preserve">이번 진단에서 </w:t>
      </w:r>
      <w:r>
        <w:rPr>
          <w:b/>
        </w:rPr>
        <w:t xml:space="preserve">임계값을 넘어 발화(PRESENT)한 리스크 신호는 없습니다</w:t>
      </w:r>
      <w:r>
        <w:t xml:space="preserve"> (외부 신호 6축 전수 평가, 발화 0건). 공시 데이터에서 결정론적으로 파생한 수익-채권 정합, 재고 흐름, 차입·이자 부담, 유동성, 공시 품질, 발생액 품질의 여섯 개 축 모두 임계값 미달로 판정되었습니다.</w:t>
      </w:r>
    </w:p>
    <w:p>
      <w:pPr>
        <w:jc w:val="both"/>
      </w:pPr>
      <w:r>
        <w:t xml:space="preserve">따라서 본 브리핑에는 서명을 요구하는 개별 리스크 항목이 없으며, 아래는 평가 범위의 확인과 유지 관점의 점검 권고입니다.</w:t>
      </w:r>
    </w:p>
    <w:p>
      <w:pPr>
        <w:pStyle w:val="Heading1"/>
      </w:pPr>
      <w:r>
        <w:rPr>
          <w:b/>
          <w:color w:val="1B2A4A"/>
        </w:rPr>
        <w:t xml:space="preserve">2. 평가된 신호 요약 (전 항목 미발화)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0"/>
        <w:gridCol w:w="1200"/>
        <w:gridCol w:w="5170"/>
      </w:tblGrid>
      <w:tr>
        <w:tc>
          <w:tcPr>
            <w:tcW w:w="27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신호</w:t>
            </w:r>
          </w:p>
        </w:tc>
        <w:tc>
          <w:tcPr>
            <w:tcW w:w="12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평가 결과</w:t>
            </w:r>
          </w:p>
        </w:tc>
        <w:tc>
          <w:tcPr>
            <w:tcW w:w="517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정성 요약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E1 수익-채권 괴리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매출 성장 대비 매출채권이 오히려 감소하는 방향으로, 이익의 현금화 저조 패턴이 관찰되지 않음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E2 재고 자산 적체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재고 증가율이 매출 증가율과 사실상 동행 — 적체 징후 임계값 미달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E3 차입 확대·이자 부담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차입 의존이 낮고 이자보상 여력이 임계값을 크게 상회하는 구간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E4 유동성 하락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유동비율이 하락이 아닌 개선 추세로, 2년 연속 하락 조건 불충족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E5 공시 행간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최근 90일 공시에서 정정·해명·감사 관련 플래그가 임계값 미달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E8 발생액 품질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순이익이 영업현금흐름의 뒷받침을 받는 방향으로, 발생액 비율이 상한 임계값 미달</w:t>
            </w:r>
          </w:p>
        </w:tc>
      </w:tr>
    </w:tbl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거시 환경은 한국은행 기준금리 2.5%로 관측 구간 내 변동이 없어, 금리발 재무비용 압박이 새로 더해지는 국면은 아닙니다.</w:t>
      </w:r>
    </w:p>
    <w:p>
      <w:pPr>
        <w:pStyle w:val="Heading1"/>
      </w:pPr>
      <w:r>
        <w:rPr>
          <w:b/>
          <w:color w:val="1B2A4A"/>
        </w:rPr>
        <w:t xml:space="preserve">3. 유지 관점 권고 (리스크 아님 — 정기 점검 항목)</w:t>
      </w:r>
    </w:p>
    <w:p>
      <w:pPr>
        <w:jc w:val="both"/>
      </w:pPr>
      <w:r>
        <w:t xml:space="preserve">발화 신호가 없다는 것은 "현 시점 공시 데이터 기준으로 임계값을 넘는 이상 패턴이 없다"는 의미이며, 아래의 저비용 정기 점검을 권고합니다.</w:t>
      </w:r>
    </w:p>
    <w:p>
      <w:pPr>
        <w:jc w:val="both"/>
      </w:pPr>
      <w:r>
        <w:t xml:space="preserve">1. </w:t>
      </w:r>
      <w:r>
        <w:rPr>
          <w:b/>
        </w:rPr>
        <w:t xml:space="preserve">분기 단위 재진단</w:t>
      </w:r>
      <w:r>
        <w:t xml:space="preserve">: 다음 분기보고서 공시 시점에 동일 6축 재실행 — 연간 데이터에서는 평활화되는 분기 내 변동을 조기 포착.</w:t>
      </w:r>
    </w:p>
    <w:p>
      <w:pPr>
        <w:jc w:val="both"/>
      </w:pPr>
      <w:r>
        <w:t xml:space="preserve">2. </w:t>
      </w:r>
      <w:r>
        <w:rPr>
          <w:b/>
        </w:rPr>
        <w:t xml:space="preserve">매출채권 연령·대손충당금 추이 모니터링 유지</w:t>
      </w:r>
      <w:r>
        <w:t xml:space="preserve">: 미발화 상태이더라도 채권 구성의 질적 변화는 연간 수치에 늦게 반영되므로, 주석 기반 연령 분석을 내부 루틴으로 유지.</w:t>
      </w:r>
    </w:p>
    <w:p>
      <w:pPr>
        <w:jc w:val="both"/>
      </w:pPr>
      <w:r>
        <w:t xml:space="preserve">3. </w:t>
      </w:r>
      <w:r>
        <w:rPr>
          <w:b/>
        </w:rPr>
        <w:t xml:space="preserve">내부 데이터 축 개방 검토</w:t>
      </w:r>
      <w:r>
        <w:t xml:space="preserve">: 본 진단은 공시 API 기반 기본 모드로 수행됨 — 내부 CSV(거래처 집중도·원가 구조)를 제공하면 공시에 나타나지 않는 상세 축(S1~S4) 진단이 가능.</w:t>
      </w:r>
    </w:p>
    <w:p>
      <w:pPr>
        <w:pStyle w:val="Heading1"/>
      </w:pPr>
      <w:r>
        <w:rPr>
          <w:b/>
          <w:color w:val="1B2A4A"/>
        </w:rPr>
        <w:t xml:space="preserve">4. 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진단은 DART 공시(2025 사업연도 연결 기준)와 최근 90일 공시 이력, 한국은행 거시지표에서 </w:t>
      </w:r>
      <w:r>
        <w:rPr>
          <w:b/>
        </w:rPr>
        <w:t xml:space="preserve">결정론적으로 파생된 신호 판정</w:t>
      </w:r>
      <w:r>
        <w:t xml:space="preserve">이며, 회계 감사나 실사를 대체하지 않습니다.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미발화가 무결의 증명은 아닙니다.</w:t>
      </w:r>
      <w:r>
        <w:t xml:space="preserve"> 임계값 기반 탐지는 임계값 이하의 완만한 악화, 공시에 반영되지 않은 계약·소송·내부통제 이슈, 분기 내 일시적 변동을 포착하지 못할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뉴스·평판 축, 시장(주가·밸류에이션) 축, 비정형 문서 축, 내부 CSV 축은 이번 진단에 포함되지 않았습니다(옵션 미사용). 해당 축에서 별도 신호가 존재할 가능성은 배제할 수 없습니다.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브리핑의 판단은 공시 데이터가 정확하다는 전제 위에 있으며, 공시 자체의 오류·누락이 있는 경우 결론이 달라질 수 있습니다.</w:t>
      </w:r>
    </w:p>
    <w:p>
      <w:pPr>
        <w:jc w:val="both"/>
      </w:pPr>
      <w:r>
        <w:t xml:space="preserve">*본 브리핑은 trusted-ceo-agent 진단 프레임워크(불변식 게이트 → 결정론 신호 파생 → 브리핑)의 산출물로, 신호 판정은 재현 가능한 계산에 근거합니다.*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브리핑 — (주)안랩 경영리스크 진단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