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(주)에스팀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수익-채권 괴리 — 이익의 현금화가 늦어지고 있습니다 (E1)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595959"/>
                <w:sz w:val="19"/>
                <w:szCs w:val="19"/>
              </w:rPr>
              <w:t xml:space="preserve">-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CFO에게 상위 거래처별 채권 잔액·회수 조건 변경 내역을 4주 내 보고받으십시오.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</w:t>
      </w:r>
      <w:r>
        <w:t xml:space="preserve">: 김소연 대표이사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기업</w:t>
      </w:r>
      <w:r>
        <w:t xml:space="preserve">: (주)에스팀 (종목코드 458350, 사업자등록번호 211-87-53165)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기준</w:t>
      </w:r>
      <w:r>
        <w:t xml:space="preserve">: 2025 사업연도 연결(CFS) 공시 + 거시지표 (한국은행 기준금리 2.5%, 2026-07-12 기준, 조회 구간 내 변동 없음)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진단 결과</w:t>
      </w:r>
      <w:r>
        <w:t xml:space="preserve">: 불변식 게이트 통과, 외부 신호 6종 중 </w:t>
      </w:r>
      <w:r>
        <w:rPr>
          <w:b/>
        </w:rPr>
        <w:t xml:space="preserve">1건 발화(E1)</w:t>
      </w:r>
    </w:p>
    <w:p>
      <w:pPr>
        <w:pStyle w:val="Heading1"/>
      </w:pPr>
      <w:r>
        <w:rPr>
          <w:b/>
          <w:color w:val="1B2A4A"/>
        </w:rPr>
        <w:t xml:space="preserve">리스크 1. 수익-채권 괴리 — 이익의 현금화가 늦어지고 있습니다 (E1)</w:t>
      </w:r>
    </w:p>
    <w:p>
      <w:pPr>
        <w:jc w:val="both"/>
      </w:pPr>
      <w:r>
        <w:rPr>
          <w:b/>
        </w:rPr>
        <w:t xml:space="preserve">결론</w:t>
      </w:r>
      <w:r>
        <w:t xml:space="preserve"> — 매출은 줄었는데 매출채권만 크게 늘어, 장부상 이익이 현금으로 회수되지 못하고 채권에 잠겨 있을 가능성이 있습니다.</w:t>
      </w:r>
    </w:p>
    <w:p>
      <w:pPr>
        <w:jc w:val="both"/>
      </w:pPr>
      <w:r>
        <w:rPr>
          <w:b/>
        </w:rPr>
        <w:t xml:space="preserve">근거 (공시 파생 수치)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매출 성장률 </w:t>
      </w:r>
      <w:r>
        <w:rPr>
          <w:b/>
        </w:rPr>
        <w:t xml:space="preserve">-1.2%</w:t>
      </w:r>
      <w:r>
        <w:t xml:space="preserve"> vs 매출채권 증가율 </w:t>
      </w:r>
      <w:r>
        <w:rPr>
          <w:b/>
        </w:rPr>
        <w:t xml:space="preserve">+44.9%</w:t>
      </w:r>
      <w:r>
        <w:t xml:space="preserve"> — 괴리 </w:t>
      </w:r>
      <w:r>
        <w:rPr>
          <w:b/>
        </w:rPr>
        <w:t xml:space="preserve">46.1%p</w:t>
      </w:r>
      <w:r>
        <w:t xml:space="preserve"> (임계 15%p 초과)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영업이익 대비 영업현금흐름(OCF/OI) </w:t>
      </w:r>
      <w:r>
        <w:rPr>
          <w:b/>
        </w:rPr>
        <w:t xml:space="preserve">0.68</w:t>
      </w:r>
      <w:r>
        <w:t xml:space="preserve"> — 하한 0.8 미달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출처: DART 2025 연결재무제표 파생 계산 (진단 패킷 E1)</w:t>
      </w:r>
    </w:p>
    <w:p>
      <w:pPr>
        <w:jc w:val="both"/>
      </w:pPr>
      <w:r>
        <w:rPr>
          <w:b/>
        </w:rPr>
        <w:t xml:space="preserve">왜 문제인가 (인과 사슬)</w:t>
      </w:r>
      <w:r>
        <w:t xml:space="preserve"> — 매출이 정체·역성장하는 국면에서 채권만 불어난다는 것은, 팔린 만큼 회수되지 않았거나 회수 조건이 느슨해진 거래(밀어내기·조기 인식·특정 거래처 여신 확대)가 늘었다는 신호일 수 있습니다. 회수가 늦어지면 이익은 장부에 있어도 운전자본이 그만큼 묶이고, 회수 실패 시 대손으로 전환되어 뒤늦게 손익을 되때립니다. 기준금리 2.5% 환경에서 묶인 운전자본은 그 자체로 조달 비용입니다.</w:t>
      </w:r>
    </w:p>
    <w:p>
      <w:pPr>
        <w:jc w:val="both"/>
      </w:pPr>
      <w:r>
        <w:rPr>
          <w:b/>
        </w:rPr>
        <w:t xml:space="preserve">확신도</w:t>
      </w:r>
      <w:r>
        <w:t xml:space="preserve"> — </w:t>
      </w:r>
      <w:r>
        <w:rPr>
          <w:b/>
        </w:rPr>
        <w:t xml:space="preserve">가설</w:t>
      </w:r>
      <w:r>
        <w:t xml:space="preserve">. 채권 급증은 결산기 말 대형 수주의 정상적 결제 조건일 수도 있어, 아래 판별 테스트로 반증 가능해야 합니다.</w:t>
      </w:r>
    </w:p>
    <w:p>
      <w:pPr>
        <w:jc w:val="both"/>
      </w:pPr>
      <w:r>
        <w:rPr>
          <w:b/>
        </w:rPr>
        <w:t xml:space="preserve">판별 테스트 (사실이라면/아니라면 갈리는 확인)</w:t>
      </w:r>
    </w:p>
    <w:p>
      <w:pPr>
        <w:jc w:val="both"/>
      </w:pPr>
      <w:r>
        <w:t xml:space="preserve">1. 분기보고서로 채권 증가가 특정 분기(특히 4분기 말)에 집중됐는지 좁히기 — 기말 집중이면 밀어내기 가능성 가중</w:t>
      </w:r>
    </w:p>
    <w:p>
      <w:pPr>
        <w:jc w:val="both"/>
      </w:pPr>
      <w:r>
        <w:t xml:space="preserve">2. 대손충당금 설정률 추이 — 채권이 44.9% 늘었는데 설정률이 그대로거나 낮아졌다면 회수 리스크 과소 반영 의심</w:t>
      </w:r>
    </w:p>
    <w:p>
      <w:pPr>
        <w:jc w:val="both"/>
      </w:pPr>
      <w:r>
        <w:t xml:space="preserve">3. 주석의 매출채권 연령 분석 — 6개월 초과 채권 비중이 늘었는지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CFO에게 상위 거래처별 채권 잔액·회수 조건 변경 내역을 4주 내 보고받으십시오.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연령 분석 기준 장기 채권에 대한 충당금 적정성을 감사인(외부감사) 커뮤니케이션 안건으로 올리십시오.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차기 분기 OCF 실측으로 반증하십시오 — 채권이 정상 회수되면 일시 괴리로 종결, 누적되면 여신 정책 재설계가 필요합니다.</w:t>
      </w:r>
    </w:p>
    <w:p>
      <w:pPr>
        <w:pStyle w:val="Heading1"/>
      </w:pPr>
      <w:r>
        <w:rPr>
          <w:b/>
          <w:color w:val="1B2A4A"/>
        </w:rPr>
        <w:t xml:space="preserve">미발화 신호 (참고 — 리스크 아님)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재고 적체(E2), 유동성 하락(E4), 공시 정정·해명 패턴(E5), 발생액 품질(E8)</w:t>
      </w:r>
      <w:r>
        <w:t xml:space="preserve"> — 모두 임계값 미달로 미발화했습니다. 특히 유동성과 발생액 축이 조용한 점은, 위 E1 이 전사적 현금 위기라기보다 </w:t>
      </w:r>
      <w:r>
        <w:rPr>
          <w:b/>
        </w:rPr>
        <w:t xml:space="preserve">채권 회수 축에 국한된 문제</w:t>
      </w:r>
      <w:r>
        <w:t xml:space="preserve">일 가능성을 시사합니다(이 또한 판별 테스트로 확인할 사안입니다).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차입·이자 부담(E3)</w:t>
      </w:r>
      <w:r>
        <w:t xml:space="preserve"> — 공시에서 차입금 계정을 찾지 못해 </w:t>
      </w:r>
      <w:r>
        <w:rPr>
          <w:b/>
        </w:rPr>
        <w:t xml:space="preserve">평가 불능</w:t>
      </w:r>
      <w:r>
        <w:t xml:space="preserve">입니다. 무차입에 가깝다는 뜻일 수도, 계정 분류 문제일 수도 있으니 재무제표 주석에서 차입 구조를 한 번 확인해 두시길 권합니다.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공시(2025, 연결)와 한국은행 거시지표에서 </w:t>
      </w:r>
      <w:r>
        <w:rPr>
          <w:b/>
        </w:rPr>
        <w:t xml:space="preserve">결정론으로 파생된 신호</w:t>
      </w:r>
      <w:r>
        <w:t xml:space="preserve">에 기반하며, 내부 CSV·뉴스·시장(시세) 축은 이번 진단에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E1 은 공시 수치의 괴리를 가리킬 뿐, 회계 처리의 적정성 여부를 판정하지 않습니다. 결론은 "가설" 수준이며, 위 판별 테스트를 통과하기 전까지 확정적으로 해석해서는 안 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차입 축(E3)은 계정 미확인으로 평가에서 제외되어, 이자 부담 관점의 사각지대가 남아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행간 신호(E5)는 최근 90일 공시 3건 기준의 관찰로, 구간 밖 공시 이력은 반영되지 않았습니다.</w:t>
      </w:r>
    </w:p>
    <w:p>
      <w:pPr>
        <w:jc w:val="both"/>
      </w:pPr>
      <w:r>
        <w:t xml:space="preserve">*본 브리핑은 서명 전 검토용이며, 판별 테스트 결과에 따라 결론이 갱신될 수 있습니다.*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(주)에스팀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