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경영리스크 브리핑 — (주)에이디테크놀로지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2026-07-14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핵심 리스크 한눈에 보기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7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구분</w:t>
            </w:r>
          </w:p>
        </w:tc>
        <w:tc>
          <w:tcPr>
            <w:tcW w:w="33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리스크</w:t>
            </w:r>
          </w:p>
        </w:tc>
        <w:tc>
          <w:tcPr>
            <w:tcW w:w="11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확신도</w:t>
            </w:r>
          </w:p>
        </w:tc>
        <w:tc>
          <w:tcPr>
            <w:tcW w:w="397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최우선 조치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R1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차입 확대와 얇은 이자 지급 여력 (E3)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1F7A33"/>
                <w:sz w:val="19"/>
                <w:szCs w:val="19"/>
              </w:rPr>
              <w:t xml:space="preserve">확인됨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CFO에게 차입금 만기 스케줄·금리 구성·약정 조항 3종을 1주 내 표로 보고받으십시오.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R2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정정 공시 반복: 공시 프로세스 품질 신호 (E5)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B45309"/>
                <w:sz w:val="19"/>
                <w:szCs w:val="19"/>
              </w:rPr>
              <w:t xml:space="preserve">가설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공시 담당 임원에게 정정 3건의 사유·변경 폭 분류표를 요청하고, 수치 변경 건이 1건이라도 있으면 제출 전 교차 검수 단계를 추가하십시오.</w:t>
            </w:r>
          </w:p>
        </w:tc>
      </w:tr>
    </w:tbl>
    <w:p>
      <w:pPr>
        <w:spacing w:before="80" w:after="240"/>
      </w:pPr>
      <w:r>
        <w:rPr>
          <w:color w:val="A6A6A6"/>
          <w:sz w:val="17"/>
          <w:szCs w:val="17"/>
        </w:rPr>
        <w:t xml:space="preserve">표의 확신도는 본문 각 리스크 절의 확신도 표기를 그대로 요약한 것입니다. 상세 근거 수치와 판별 테스트는 본문을 참조하십시오.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 기업</w:t>
      </w:r>
      <w:r>
        <w:t xml:space="preserve">: (주)에이디테크놀로지 (종목코드 200710, 사업자등록번호 129-81-53729)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대표이사</w:t>
      </w:r>
      <w:r>
        <w:t xml:space="preserve">: 김준석, 박준규 (각자 대표이사)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분석 기준</w:t>
      </w:r>
      <w:r>
        <w:t xml:space="preserve">: 2025 사업연도 연결(CFS) 공시 + 최근 90일 공시 이력 + 거시지표(한국은행 기준금리 2.5%, 2026-07-12 기준)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발화 신호</w:t>
      </w:r>
      <w:r>
        <w:t xml:space="preserve">: 외부 축 2건 (E3 차입 확대·이자 부담, E5 공시 행간)</w:t>
      </w:r>
    </w:p>
    <w:p>
      <w:pPr>
        <w:pStyle w:val="Heading1"/>
      </w:pPr>
      <w:r>
        <w:rPr>
          <w:b/>
          <w:color w:val="1B2A4A"/>
        </w:rPr>
        <w:t xml:space="preserve">리스크 1 — 차입 확대와 얇은 이자 지급 여력 (E3)</w:t>
      </w:r>
    </w:p>
    <w:p>
      <w:pPr>
        <w:jc w:val="both"/>
      </w:pPr>
      <w:r>
        <w:rPr>
          <w:b/>
          <w:color w:val="1B2A4A"/>
        </w:rPr>
        <w:t xml:space="preserve">결론. </w:t>
      </w:r>
    </w:p>
    <w:p>
      <w:pPr>
        <w:jc w:val="both"/>
      </w:pPr>
      <w:r>
        <w:t xml:space="preserve">차입금이 임계 기준(30%)을 넘겨 늘어난 가운데, 영업이익으로 이자를 감당하는 여력(이자보상배율)이 1.3배에 그쳐 안전 하한(10배)에 크게 못 미칩니다. 지금의 이익 체력으로는 이자 부담 흡수 여지가 얇은 상태입니다.</w:t>
      </w:r>
    </w:p>
    <w:p>
      <w:pPr>
        <w:jc w:val="both"/>
      </w:pPr>
      <w:r>
        <w:rPr>
          <w:b/>
        </w:rPr>
        <w:t xml:space="preserve">근거 (수치 + 출처)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차입금 규모 0.1→0.1조 원, 전년 대비 </w:t>
      </w:r>
      <w:r>
        <w:rPr>
          <w:b/>
        </w:rPr>
        <w:t xml:space="preserve">31.9%</w:t>
      </w:r>
      <w:r>
        <w:t xml:space="preserve"> 증가 — 임계값(30% 이상) 초과 발화 (출처: DART 연결재무제표)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이자보상배율(영업이익/이자지급) </w:t>
      </w:r>
      <w:r>
        <w:rPr>
          <w:b/>
        </w:rPr>
        <w:t xml:space="preserve">-6.3→1.3배</w:t>
      </w:r>
      <w:r>
        <w:t xml:space="preserve"> — 직전 연도 영업적자 구간에서 벗어났으나, 여전히 하한(10배)을 크게 하회 (출처: DART 연결재무제표 파생 계산)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거시 환경: 한국은행 기준금리 2.5% (2026-07-12, 변동폭 0%p) — 금리 자체는 안정적이나 차입 잔액 증가가 이자비용 총량을 키우는 국면 (출처: ECOS)</w:t>
      </w:r>
    </w:p>
    <w:p>
      <w:pPr>
        <w:jc w:val="both"/>
      </w:pPr>
      <w:r>
        <w:rPr>
          <w:b/>
        </w:rPr>
        <w:t xml:space="preserve">왜 문제인가 (인과 사슬)</w:t>
      </w:r>
    </w:p>
    <w:p>
      <w:pPr>
        <w:jc w:val="both"/>
      </w:pPr>
      <w:r>
        <w:t xml:space="preserve">차입이 늘면 이자비용은 계약상 고정 지출로 매기 선(先)차감됩니다. 이자보상배율이 1배 초경에 머무는 기업은 영업이익이 조금만 흔들려도 이자조차 영업으로 못 갚는 구간으로 되돌아가며, 그 경우 추가 차입→이자 부담 가중→재무 유연성 축소의 되먹임 고리에 진입할 수 있습니다. 직전 연도가 마이너스 커버리지였다는 사실은 이 되먹임이 최근까지 실재했음을 시사하므로, 개선 추세가 구조적인지 일시적인지 판별이 선행되어야 합니다.</w:t>
      </w:r>
    </w:p>
    <w:p>
      <w:p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1F7A33"/>
        </w:rPr>
        <w:t xml:space="preserve">확인됨</w:t>
      </w:r>
      <w:r>
        <w:t xml:space="preserve"> (공시 수치에서 결정론적으로 파생된 발화 — 다만 "위기로 이어진다"는 해석은 아래 판별 테스트 결과에 종속)</w:t>
      </w:r>
    </w:p>
    <w:p>
      <w:pPr>
        <w:jc w:val="both"/>
      </w:pPr>
      <w:r>
        <w:rPr>
          <w:b/>
          <w:color w:val="1B2A4A"/>
        </w:rPr>
        <w:t xml:space="preserve">판별 테스트. </w:t>
      </w:r>
    </w:p>
    <w:p>
      <w:pPr>
        <w:jc w:val="both"/>
      </w:pPr>
      <w:r>
        <w:t xml:space="preserve">1. 차입금 </w:t>
      </w:r>
      <w:r>
        <w:rPr>
          <w:b/>
        </w:rPr>
        <w:t xml:space="preserve">만기 구조</w:t>
      </w:r>
      <w:r>
        <w:t xml:space="preserve">(주석) 확인 — 1년 내 만기 집중이면 차환 리스크가 즉시 현안, 장기 분산이면 시간 여유 존재</w:t>
      </w:r>
    </w:p>
    <w:p>
      <w:pPr>
        <w:jc w:val="both"/>
      </w:pPr>
      <w:r>
        <w:t xml:space="preserve">2. </w:t>
      </w:r>
      <w:r>
        <w:rPr>
          <w:b/>
        </w:rPr>
        <w:t xml:space="preserve">변동/고정 금리 구성</w:t>
      </w:r>
      <w:r>
        <w:t xml:space="preserve"> 확인 — 변동 비중이 높으면 금리 경로에 이자비용이 직접 노출</w:t>
      </w:r>
    </w:p>
    <w:p>
      <w:pPr>
        <w:jc w:val="both"/>
      </w:pPr>
      <w:r>
        <w:t xml:space="preserve">3. </w:t>
      </w:r>
      <w:r>
        <w:rPr>
          <w:b/>
        </w:rPr>
        <w:t xml:space="preserve">약정(covenant) 조건</w:t>
      </w:r>
      <w:r>
        <w:t xml:space="preserve"> 확인 — 이자보상배율·부채비율 트리거 조항이 있다면 1.3배는 트리거 근접 여부를 즉시 점검해야 함</w:t>
      </w:r>
    </w:p>
    <w:p>
      <w:pPr>
        <w:jc w:val="both"/>
      </w:pPr>
      <w:r>
        <w:rPr>
          <w:b/>
          <w:color w:val="1B2A4A"/>
        </w:rPr>
        <w:t xml:space="preserve">권고 조치. 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CFO에게 차입금 만기 스케줄·금리 구성·약정 조항 3종을 1주 내 표로 보고받으십시오.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이자보상배율이 다음 반기에도 2배를 밑돌 경우를 가정한 차환·자본 조달 시나리오를 선제 준비하십시오.</w:t>
      </w:r>
    </w:p>
    <w:p>
      <w:pPr>
        <w:pStyle w:val="Heading1"/>
      </w:pPr>
      <w:r>
        <w:rPr>
          <w:b/>
          <w:color w:val="1B2A4A"/>
        </w:rPr>
        <w:t xml:space="preserve">리스크 2 — 정정 공시 반복: 공시 프로세스 품질 신호 (E5)</w:t>
      </w:r>
    </w:p>
    <w:p>
      <w:pPr>
        <w:jc w:val="both"/>
      </w:pPr>
      <w:r>
        <w:rPr>
          <w:b/>
          <w:color w:val="1B2A4A"/>
        </w:rPr>
        <w:t xml:space="preserve">결론. </w:t>
      </w:r>
    </w:p>
    <w:p>
      <w:pPr>
        <w:jc w:val="both"/>
      </w:pPr>
      <w:r>
        <w:t xml:space="preserve">최근 90일 공시 12건 중 정정 공시가 3건으로 임계 기준(3건 이상)에 도달했습니다. 정정의 반복은 그 자체로 제재 사안은 아니지만, 공시 검수 체인의 품질 신호로서 시장 신뢰와 규제 시선에 영향을 줄 수 있습니다.</w:t>
      </w:r>
    </w:p>
    <w:p>
      <w:pPr>
        <w:jc w:val="both"/>
      </w:pPr>
      <w:r>
        <w:rPr>
          <w:b/>
        </w:rPr>
        <w:t xml:space="preserve">근거 (수치 + 출처)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최근 90일(windowDays 90) 총 공시 </w:t>
      </w:r>
      <w:r>
        <w:rPr>
          <w:b/>
        </w:rPr>
        <w:t xml:space="preserve">12건</w:t>
      </w:r>
      <w:r>
        <w:t xml:space="preserve"> 중 </w:t>
      </w:r>
      <w:r>
        <w:rPr>
          <w:b/>
        </w:rPr>
        <w:t xml:space="preserve">정정 3건</w:t>
      </w:r>
      <w:r>
        <w:t xml:space="preserve"> — 임계값(3건 이상) 도달 발화 (출처: DART 공시 목록)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같은 기간 해명(풍문) 공시·감사 관련 플래그는 관찰되지 않음 — 정정 단독 패턴</w:t>
      </w:r>
    </w:p>
    <w:p>
      <w:pPr>
        <w:jc w:val="both"/>
      </w:pPr>
      <w:r>
        <w:rPr>
          <w:b/>
        </w:rPr>
        <w:t xml:space="preserve">왜 문제인가 (인과 사슬)</w:t>
      </w:r>
    </w:p>
    <w:p>
      <w:pPr>
        <w:jc w:val="both"/>
      </w:pPr>
      <w:r>
        <w:t xml:space="preserve">정정이 짧은 기간에 반복되면, 시장은 "처음 공시된 숫자를 그대로 믿어도 되는가"라는 할인율을 회사의 모든 공시에 적용하기 시작합니다. 이는 자금 조달 조건(리스크 1의 차입 환경)과 주가 변동성에 간접적으로 전이될 수 있고, 정정 사유가 수치 변경 성격이라면 내부 결산·검수 통제의 약한 고리를 가리키는 조기 신호일 수 있습니다.</w:t>
      </w:r>
    </w:p>
    <w:p>
      <w:p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B45309"/>
        </w:rPr>
        <w:t xml:space="preserve">가설</w:t>
      </w:r>
      <w:r>
        <w:t xml:space="preserve"> (정정 건수는 확인된 사실이나, "프로세스 결함"인지 "단순 오기 누적"인지는 사유 분류 전까지 판단 유보)</w:t>
      </w:r>
    </w:p>
    <w:p>
      <w:pPr>
        <w:jc w:val="both"/>
      </w:pPr>
      <w:r>
        <w:rPr>
          <w:b/>
          <w:color w:val="1B2A4A"/>
        </w:rPr>
        <w:t xml:space="preserve">판별 테스트. </w:t>
      </w:r>
    </w:p>
    <w:p>
      <w:pPr>
        <w:jc w:val="both"/>
      </w:pPr>
      <w:r>
        <w:t xml:space="preserve">1. 정정 3건의 </w:t>
      </w:r>
      <w:r>
        <w:rPr>
          <w:b/>
        </w:rPr>
        <w:t xml:space="preserve">사유 분류</w:t>
      </w:r>
      <w:r>
        <w:t xml:space="preserve"> — 단순 오기·형식 정정이면 리스크 강등, 수치·조건 변경이면 검수 체인 점검으로 승격</w:t>
      </w:r>
    </w:p>
    <w:p>
      <w:pPr>
        <w:jc w:val="both"/>
      </w:pPr>
      <w:r>
        <w:t xml:space="preserve">2. 정정 대상 공시의 </w:t>
      </w:r>
      <w:r>
        <w:rPr>
          <w:b/>
        </w:rPr>
        <w:t xml:space="preserve">원문 대비 변경 폭</w:t>
      </w:r>
      <w:r>
        <w:t xml:space="preserve"> 확인 — 투자 판단에 영향을 주는 항목인지 여부</w:t>
      </w:r>
    </w:p>
    <w:p>
      <w:pPr>
        <w:jc w:val="both"/>
      </w:pPr>
      <w:r>
        <w:t xml:space="preserve">3. </w:t>
      </w:r>
      <w:r>
        <w:rPr>
          <w:b/>
        </w:rPr>
        <w:t xml:space="preserve">공시 검수 체인</w:t>
      </w:r>
      <w:r>
        <w:t xml:space="preserve">(작성자→검토자→제출 승인) 실사 — 동일 단계에서 반복 누락되는지 확인</w:t>
      </w:r>
    </w:p>
    <w:p>
      <w:pPr>
        <w:jc w:val="both"/>
      </w:pPr>
      <w:r>
        <w:rPr>
          <w:b/>
          <w:color w:val="1B2A4A"/>
        </w:rPr>
        <w:t xml:space="preserve">권고 조치. 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공시 담당 임원에게 정정 3건의 사유·변경 폭 분류표를 요청하고, 수치 변경 건이 1건이라도 있으면 제출 전 교차 검수 단계를 추가하십시오.</w:t>
      </w:r>
    </w:p>
    <w:p>
      <w:pPr>
        <w:pStyle w:val="Heading1"/>
      </w:pPr>
      <w:r>
        <w:rPr>
          <w:b/>
          <w:color w:val="1B2A4A"/>
        </w:rPr>
        <w:t xml:space="preserve">미발화 신호 요약 (리스크 아님)</w:t>
      </w:r>
    </w:p>
    <w:p>
      <w:pPr>
        <w:pBdr>
          <w:left w:val="single" w:sz="24" w:space="8" w:color="D04A02"/>
        </w:pBdr>
        <w:shd w:val="clear" w:color="auto" w:fill="FBF4EE"/>
        <w:spacing w:before="60" w:after="120" w:line="276" w:lineRule="auto"/>
        <w:ind w:left="284" w:right="284"/>
        <w:jc w:val="both"/>
      </w:pPr>
      <w:r>
        <w:t xml:space="preserve">수익-채권 괴리(E1), 재고 적체(E2), 유동성 하락(E4), 발생액 품질(E8) 축은 이번 진단에서 </w:t>
      </w:r>
      <w:r>
        <w:rPr>
          <w:b/>
        </w:rPr>
        <w:t xml:space="preserve">임계값 미달로 미발화</w:t>
      </w:r>
      <w:r>
        <w:t xml:space="preserve">했습니다. 다만 E4(유동비율)는 하락 추세 자체는 관찰되어, 차기 진단에서 리스크 1(차입)과 함께 유동성 축을 재점검할 가치가 있습니다. 미발화는 "안전 확정"이 아니라 "이번 데이터 창에서 임계 기준에 이르지 않았다"는 의미입니다.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브리핑은 DART 공시(2025 연결재무제표·최근 90일 공시 목록)와 ECOS 거시지표에서 </w:t>
      </w:r>
      <w:r>
        <w:rPr>
          <w:b/>
        </w:rPr>
        <w:t xml:space="preserve">결정론적으로 파생된 신호만</w:t>
      </w:r>
      <w:r>
        <w:t xml:space="preserve">을 다루며, 내부 CSV(거래처 집중·원가 구조), 뉴스·평판 축, 시장(주가) 축, 비정형 문서 축은 이번 진단 범위에 포함되지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발화 신호는 "점검이 필요한 이상 패턴"이지 회계 부정이나 부실의 판정이 아닙니다. 각 리스크의 최종 판단은 위 판별 테스트(만기 구조·약정 조건·정정 사유 분류)의 결과에 따라 갱신되어야 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이자보상배율의 개선(-6.3→1.3배)은 방향으로는 긍정적이나, 단일 연도 관찰이므로 지속성은 차기 분기 실적으로 반증 가능하게 열어 둡니다.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진단 기준 시점 이후의 공시·차입 변동은 반영되어 있지 않습니다.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경영리스크 브리핑 — (주)에이디테크놀로지</dc:title>
  <dc:creator>Trusted CEO Agent</dc:creator>
  <cp:lastModifiedBy>Trusted CEO Agent</cp:lastModifiedBy>
  <dcterms:created xsi:type="dcterms:W3CDTF">2026-07-14T00:00:00Z</dcterms:created>
  <dcterms:modified xsi:type="dcterms:W3CDTF">2026-07-14T00:00:00Z</dcterms:modified>
</cp:coreProperties>
</file>