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color="auto" w:fill="D04A02"/>
        <w:spacing w:before="0" w:after="480"/>
      </w:pPr>
      <w:r>
        <w:t xml:space="preserve"> </w:t>
      </w:r>
    </w:p>
    <w:p>
      <w:pPr>
        <w:spacing w:before="1200" w:after="120"/>
      </w:pPr>
      <w:r>
        <w:rPr>
          <w:color w:val="595959"/>
          <w:sz w:val="22"/>
          <w:szCs w:val="22"/>
        </w:rPr>
        <w:t xml:space="preserve">CEO 경영 리스크 브리핑</w:t>
      </w:r>
    </w:p>
    <w:p>
      <w:pPr>
        <w:spacing w:after="360"/>
      </w:pPr>
      <w:r>
        <w:rPr>
          <w:b/>
          <w:color w:val="1B2A4A"/>
          <w:sz w:val="52"/>
          <w:szCs w:val="52"/>
        </w:rPr>
        <w:t xml:space="preserve">CEO 서명용 브리핑 — (주)제이브이엠</w:t>
      </w:r>
    </w:p>
    <w:p>
      <w:pPr>
        <w:spacing w:after="160"/>
      </w:pPr>
      <w:r>
        <w:rPr>
          <w:b/>
          <w:color w:val="D04A02"/>
          <w:sz w:val="20"/>
          <w:szCs w:val="20"/>
        </w:rPr>
        <w:t xml:space="preserve">대외비 · Confidential</w:t>
      </w:r>
    </w:p>
    <w:p>
      <w:pPr>
        <w:spacing w:after="600"/>
      </w:pPr>
      <w:r>
        <w:rPr>
          <w:color w:val="595959"/>
          <w:sz w:val="20"/>
          <w:szCs w:val="20"/>
        </w:rPr>
        <w:t xml:space="preserve">작성일 2026-07-14</w:t>
      </w:r>
    </w:p>
    <w:p>
      <w:pPr>
        <w:spacing w:before="2400" w:after="0"/>
      </w:pPr>
      <w:r>
        <w:rPr>
          <w:color w:val="A6A6A6"/>
          <w:sz w:val="16"/>
          <w:szCs w:val="16"/>
        </w:rPr>
        <w:t xml:space="preserve">본 보고서는 trusted-ceo-agent 진단 파이프라인(불변식 게이트 → 결정론 신호 파생 → 자동 채점)을 통과한 데이터에 기반해 작성되었으며, CEO 경영 판단 보조 자료로서 투자자문·투자권유가 아닙니다.</w:t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Executive Snapshot</w:t>
      </w:r>
    </w:p>
    <w:p>
      <w:pPr>
        <w:jc w:val="center"/>
        <w:spacing w:before="120" w:after="240"/>
      </w:pPr>
      <w:r>
        <w:drawing>
          <wp:inline xmlns:wp="http://schemas.openxmlformats.org/drawingml/2006/wordprocessingDrawing" distT="0" distB="0" distL="0" distR="0">
            <wp:extent cx="5943600" cy="3714750"/>
            <wp:effectExtent l="0" t="0" r="0" b="0"/>
            <wp:docPr id="1" name="Executive Snap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ecutive-summary.png"/>
                    <pic:cNvPicPr/>
                  </pic:nvPicPr>
                  <pic:blipFill>
                    <a:blip xmlns:r="http://schemas.openxmlformats.org/officeDocument/2006/relationships" r:embed="rIdSnapsho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수신</w:t>
      </w:r>
      <w:r>
        <w:t xml:space="preserve">: 김상욱 대표이사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대상 기업</w:t>
      </w:r>
      <w:r>
        <w:t xml:space="preserve">: (주)제이브이엠 (종목코드 054950, 사업자등록번호 503-81-31016)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분석 기준</w:t>
      </w:r>
      <w:r>
        <w:t xml:space="preserve">: 2025 사업연도 연결재무제표(CFS) 공시 + 최근 90일 공시 이력 + 거시지표(한국은행 기준금리 2.5%, 2026-07-12 기준, 분석 구간 내 변동 없음)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분석 일자</w:t>
      </w:r>
      <w:r>
        <w:t xml:space="preserve">: 2026-07-15</w:t>
      </w:r>
    </w:p>
    <w:p>
      <w:pPr>
        <w:pStyle w:val="Heading1"/>
      </w:pPr>
      <w:r>
        <w:rPr>
          <w:b/>
          <w:color w:val="1B2A4A"/>
        </w:rPr>
        <w:t xml:space="preserve">종합 판단</w:t>
      </w:r>
    </w:p>
    <w:p>
      <w:pPr>
        <w:jc w:val="both"/>
      </w:pPr>
      <w:r>
        <w:t xml:space="preserve">이번 진단에서 평가 가능했던 외부 신호 6종(E1 수익-채권 괴리, E2 재고 적체, E3 차입·이자 부담, E4 유동성 하락, E5 공시 행간, E8 발생액 품질) 중 </w:t>
      </w:r>
      <w:r>
        <w:rPr>
          <w:b/>
        </w:rPr>
        <w:t xml:space="preserve">발화(PRESENT)한 신호는 없습니다.</w:t>
      </w:r>
      <w:r>
        <w:t xml:space="preserve"> 공시 데이터에서 결정론적으로 파생한 임계값 기준으로는, 현 시점에 CEO 의사결정을 요구하는 재무·공시 리스크 신호가 포착되지 않았습니다.</w:t>
      </w:r>
    </w:p>
    <w:p>
      <w:pPr>
        <w:jc w:val="both"/>
      </w:pPr>
      <w:r>
        <w:t xml:space="preserve">이는 "리스크가 없다"는 보증이 아니라, </w:t>
      </w:r>
      <w:r>
        <w:rPr>
          <w:b/>
        </w:rPr>
        <w:t xml:space="preserve">본 프레임워크의 탐지 범위 안에서 경보 수준의 이상 패턴이 관측되지 않았다</w:t>
      </w:r>
      <w:r>
        <w:t xml:space="preserve">는 의미입니다.</w:t>
      </w:r>
    </w:p>
    <w:p>
      <w:pPr>
        <w:pStyle w:val="Heading1"/>
      </w:pPr>
      <w:r>
        <w:rPr>
          <w:b/>
          <w:color w:val="1B2A4A"/>
        </w:rPr>
        <w:t xml:space="preserve">미발화 신호 개요 (정성 서술)</w:t>
      </w:r>
    </w:p>
    <w:p>
      <w:pPr>
        <w:jc w:val="both"/>
      </w:pPr>
      <w:r>
        <w:t xml:space="preserve">각 신호는 임계값 미달로 미발화했으며, 리스크로 승격하지 않습니다.</w:t>
      </w:r>
    </w:p>
    <w:tbl>
      <w:tblPr>
        <w:tblStyle w:val="TableGrid"/>
        <w:tblW w:w="907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00"/>
        <w:gridCol w:w="1200"/>
        <w:gridCol w:w="5170"/>
      </w:tblGrid>
      <w:tr>
        <w:tc>
          <w:tcPr>
            <w:tcW w:w="2700" w:type="dxa"/>
            <w:shd w:val="clear" w:color="auto" w:fill="F2E8E0"/>
          </w:tcPr>
          <w:p>
            <w:pPr>
              <w:spacing w:before="40" w:after="40"/>
            </w:pPr>
            <w:r>
              <w:rPr>
                <w:b/>
                <w:color w:val="1B2A4A"/>
                <w:sz w:val="19"/>
                <w:szCs w:val="19"/>
              </w:rPr>
              <w:t xml:space="preserve">축</w:t>
            </w:r>
          </w:p>
        </w:tc>
        <w:tc>
          <w:tcPr>
            <w:tcW w:w="1200" w:type="dxa"/>
            <w:shd w:val="clear" w:color="auto" w:fill="F2E8E0"/>
          </w:tcPr>
          <w:p>
            <w:pPr>
              <w:spacing w:before="40" w:after="40"/>
            </w:pPr>
            <w:r>
              <w:rPr>
                <w:b/>
                <w:color w:val="1B2A4A"/>
                <w:sz w:val="19"/>
                <w:szCs w:val="19"/>
              </w:rPr>
              <w:t xml:space="preserve">신호</w:t>
            </w:r>
          </w:p>
        </w:tc>
        <w:tc>
          <w:tcPr>
            <w:tcW w:w="5170" w:type="dxa"/>
            <w:shd w:val="clear" w:color="auto" w:fill="F2E8E0"/>
          </w:tcPr>
          <w:p>
            <w:pPr>
              <w:spacing w:before="40" w:after="40"/>
            </w:pPr>
            <w:r>
              <w:rPr>
                <w:b/>
                <w:color w:val="1B2A4A"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이익의 현금화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E1 수익-채권 괴리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임계값 미달 — 미발화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재고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E2 재고 자산 적체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임계값 미달 — 미발화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차입·이자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E3 차입 확대·이자 부담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임계값 미달 — 미발화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유동성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E4 유동비율 하락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임계값 미달 — 미발화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공시 품질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E5 정정·해명 패턴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최근 90일 창에서 경보 패턴 미관측 — 미발화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이익 품질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E8 발생액 품질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임계값 미달 — 미발화</w:t>
            </w:r>
          </w:p>
        </w:tc>
      </w:tr>
    </w:tbl>
    <w:p>
      <w:pPr>
        <w:jc w:val="both"/>
      </w:pPr>
      <w:r>
        <w:t xml:space="preserve">특기 사항으로, 매출채권·발생액·이자보상 등 이익의 질과 관련된 축들이 일관되게 안정 방향을 가리키고 있어, 개별 신호의 우연한 미발화가 아니라 축 간 정합성이 있는 결과로 해석됩니다(가설 수준의 해석이며, 아래 판별 테스트로 확인 가능).</w:t>
      </w:r>
    </w:p>
    <w:p>
      <w:pPr>
        <w:pStyle w:val="Heading1"/>
      </w:pPr>
      <w:r>
        <w:rPr>
          <w:b/>
          <w:color w:val="1B2A4A"/>
        </w:rPr>
        <w:t xml:space="preserve">권고 조치 (경보 부재 시의 위생 점검)</w:t>
      </w:r>
    </w:p>
    <w:p>
      <w:pPr>
        <w:jc w:val="both"/>
      </w:pPr>
      <w:r>
        <w:t xml:space="preserve">발화 신호가 없으므로 긴급 조치는 권고하지 않습니다. 다만 다음 분기 정기 점검 항목으로 아래를 제안합니다.</w:t>
      </w:r>
    </w:p>
    <w:p>
      <w:pPr>
        <w:jc w:val="both"/>
      </w:pPr>
      <w:r>
        <w:t xml:space="preserve">1. </w:t>
      </w:r>
      <w:r>
        <w:rPr>
          <w:b/>
        </w:rPr>
        <w:t xml:space="preserve">재고 구성 점검</w:t>
      </w:r>
      <w:r>
        <w:t xml:space="preserve"> — 재고 증가율이 매출 증가율을 다소 앞서는 방향성 자체는 존재하므로(발화 임계값에는 미달), 분기보고서 주석에서 제품/재공품/원재료 구성 변화와 재고자산 평가손실 유무를 한 차례 확인해 두시기 바랍니다.</w:t>
      </w:r>
    </w:p>
    <w:p>
      <w:pPr>
        <w:jc w:val="both"/>
      </w:pPr>
      <w:r>
        <w:t xml:space="preserve">2. </w:t>
      </w:r>
      <w:r>
        <w:rPr>
          <w:b/>
        </w:rPr>
        <w:t xml:space="preserve">차기 분기 OCF 추적</w:t>
      </w:r>
      <w:r>
        <w:t xml:space="preserve"> — 발생액 품질은 단일 연도 판정이므로, 차기 분기 영업현금흐름 실측으로 이번 판정의 지속성을 확인하는 것이 가장 저비용의 반증 테스트입니다.</w:t>
      </w:r>
    </w:p>
    <w:p>
      <w:pPr>
        <w:jc w:val="both"/>
      </w:pPr>
      <w:r>
        <w:t xml:space="preserve">3. </w:t>
      </w:r>
      <w:r>
        <w:rPr>
          <w:b/>
        </w:rPr>
        <w:t xml:space="preserve">공시 검수 체인 유지</w:t>
      </w:r>
      <w:r>
        <w:t xml:space="preserve"> — 최근 90일 창에서 정정·해명 패턴이 없었던 현 상태를 유지하도록 공시 검수 프로세스를 현행대로 운영하시기 바랍니다.</w:t>
      </w:r>
    </w:p>
    <w:p>
      <w:pPr>
        <w:pStyle w:val="Heading1"/>
      </w:pPr>
      <w:r>
        <w:rPr>
          <w:b/>
          <w:color w:val="1B2A4A"/>
        </w:rPr>
        <w:t xml:space="preserve">확인 범위와 한계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데이터 범위</w:t>
      </w:r>
      <w:r>
        <w:t xml:space="preserve">: 본 진단은 DART 공시(2025 사업연도 연결 기준)와 한국은행 거시지표에 기반한 </w:t>
      </w:r>
      <w:r>
        <w:rPr>
          <w:b/>
        </w:rPr>
        <w:t xml:space="preserve">기본 모드(API-only)</w:t>
      </w:r>
      <w:r>
        <w:t xml:space="preserve"> 결과입니다. 내부 CSV(거래처 집중·원가 왜곡 축), 뉴스·평판 축, 시장 축(E6·E7), 비정형 문서 축(D1)은 이번 분석에 포함되지 않았으며, 해당 축에서의 리스크 존재 여부는 판단 범위 밖입니다.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방법론 한계</w:t>
      </w:r>
      <w:r>
        <w:t xml:space="preserve">: 신호는 공시 수치에서 파생한 임계값 판정입니다. 임계값에 미달하는 초기 단계의 이상 징후, 공시에 반영되지 않은 우발부채·소송·거래처 이벤트는 본 프레임워크가 포착하지 못할 수 있습니다.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시점 한계</w:t>
      </w:r>
      <w:r>
        <w:t xml:space="preserve">: 공시 기준 시점과 현재 사이의 경영 환경 변화(수주·환율·금리 경로)는 반영되어 있지 않습니다.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본 브리핑의 "미발화" 판정은 확인된 사실이나, 그로부터의 안정성 해석은 가설 수준이며 위 판별 테스트(분기 OCF 추적, 재고 구성 점검)로 검증되어야 합니다.</w:t>
      </w:r>
    </w:p>
    <w:p>
      <w:pPr>
        <w:jc w:val="both"/>
      </w:pPr>
      <w:r>
        <w:t xml:space="preserve">*본 브리핑은 진단 패킷의 결정론 파생 수치에 근거해 작성되었으며, 단독으로 투자·회계 판단의 최종 근거가 될 수 없습니다.*</w:t>
      </w:r>
    </w:p>
    <w:sectPr>
      <w:headerReference w:type="default" r:id="rIdHeader"/>
      <w:footerReference w:type="default" r:id="rIdFooter"/>
      <w:pgSz w:w="11906" w:h="16838"/>
      <w:pgMar w:top="1418" w:right="1418" w:bottom="1418" w:left="1418" w:header="709" w:footer="709" w:gutter="0"/>
      <w:titlePg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Management risk briefing | Not investment advice</w:t>
    </w:r>
    <w:r>
      <w:rPr>
        <w:color w:val="A6A6A6"/>
        <w:sz w:val="16"/>
      </w:rPr>
      <w:tab/>
    </w:r>
    <w:r>
      <w:fldChar w:fldCharType="begin"/>
    </w:r>
    <w:r>
      <w:rPr>
        <w:color w:val="A6A6A6"/>
        <w:sz w:val="16"/>
      </w:rP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CEO Risk Briefing</w:t>
    </w:r>
    <w:r>
      <w:rPr>
        <w:color w:val="A6A6A6"/>
        <w:sz w:val="16"/>
      </w:rPr>
      <w:tab/>
    </w:r>
    <w:r>
      <w:rPr>
        <w:b/>
        <w:color w:val="D04A02"/>
        <w:sz w:val="16"/>
      </w:rPr>
      <w:t>Confidential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425" w:hanging="212"/>
      </w:pPr>
      <w:rPr>
        <w:color w:val="D04A02"/>
      </w:rPr>
    </w:lvl>
    <w:lvl w:ilvl="1">
      <w:numFmt w:val="bullet"/>
      <w:lvlText w:val="–"/>
      <w:pPr>
        <w:ind w:left="850" w:hanging="212"/>
      </w:pPr>
      <w:rPr>
        <w:color w:val="595959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1"/>
        <w:szCs w:val="21"/>
        <w:lang w:val="ko-KR" w:eastAsia="ko-KR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400" w:after="160"/>
      <w:pBdr>
        <w:bottom w:val="single" w:sz="8" w:space="4" w:color="D04A02"/>
      </w:pBdr>
      <w:outlineLvl w:val="0"/>
    </w:pPr>
    <w:rPr>
      <w:b/>
      <w:color w:val="1B2A4A"/>
      <w:sz w:val="27"/>
      <w:szCs w:val="27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color w:val="1B2A4A"/>
      <w:sz w:val="23"/>
      <w:szCs w:val="23"/>
    </w:rPr>
  </w:style>
  <w:style w:type="paragraph" w:styleId="ListParagraph">
    <w:name w:val="List Paragraph"/>
    <w:basedOn w:val="Normal"/>
    <w:pPr>
      <w:spacing w:after="80"/>
      <w:ind w:left="425"/>
    </w:pPr>
  </w:style>
  <w:style w:type="character" w:styleId="Hyperlink">
    <w:name w:val="Hyperlink"/>
    <w:rPr>
      <w:color w:val="1155CC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<Relationship Id="rIdFooter" Type="http://schemas.openxmlformats.org/officeDocument/2006/relationships/footer" Target="footer1.xml"/>
<Relationship Id="rIdSnapshot" Type="http://schemas.openxmlformats.org/officeDocument/2006/relationships/image" Target="media/executive-summary.png"/>

</Relationships>
</file>

<file path=docProps/app.xml><?xml version="1.0" encoding="utf-8"?>
<Properties xmlns="http://schemas.openxmlformats.org/officeDocument/2006/extended-properties">
  <Application>trusted-ceo-agent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CEO 서명용 브리핑 — (주)제이브이엠</dc:title>
  <dc:creator>Trusted CEO Agent</dc:creator>
  <cp:lastModifiedBy>Trusted CEO Agent</cp:lastModifiedBy>
  <dcterms:created xsi:type="dcterms:W3CDTF">2026-07-14T00:00:00Z</dcterms:created>
  <dcterms:modified xsi:type="dcterms:W3CDTF">2026-07-14T00:00:00Z</dcterms:modified>
</cp:coreProperties>
</file>