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티이엠씨씨엔에스(주)</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수신</w:t>
      </w:r>
      <w:r>
        <w:t xml:space="preserve">: 이동준 대표이사</w:t>
      </w:r>
    </w:p>
    <w:p>
      <w:pPr>
        <w:pStyle w:val="ListParagraph"/>
        <w:numPr>
          <w:ilvl w:val="0"/>
          <w:numId w:val="1"/>
        </w:numPr>
        <w:jc w:val="both"/>
      </w:pPr>
      <w:r>
        <w:rPr>
          <w:b/>
        </w:rPr>
        <w:t xml:space="preserve">대상 기업</w:t>
      </w:r>
      <w:r>
        <w:t xml:space="preserve">: 티이엠씨씨엔에스(주) (종목코드 241790, 사업자등록번호 119-86-53348)</w:t>
      </w:r>
    </w:p>
    <w:p>
      <w:pPr>
        <w:pStyle w:val="ListParagraph"/>
        <w:numPr>
          <w:ilvl w:val="0"/>
          <w:numId w:val="1"/>
        </w:numPr>
        <w:jc w:val="both"/>
      </w:pPr>
      <w:r>
        <w:rPr>
          <w:b/>
        </w:rPr>
        <w:t xml:space="preserve">분석 기준</w:t>
      </w:r>
      <w:r>
        <w:t xml:space="preserve">: 2025 회계연도 연결재무제표(CFS) 공시 데이터 + 최근 90일 공시 이력 + 거시지표(한국은행 기준금리, 2026-07-12 기준 2.5%, 조회 기간 내 변동 없음)</w:t>
      </w:r>
    </w:p>
    <w:p>
      <w:pPr>
        <w:pStyle w:val="ListParagraph"/>
        <w:numPr>
          <w:ilvl w:val="0"/>
          <w:numId w:val="1"/>
        </w:numPr>
        <w:jc w:val="both"/>
      </w:pPr>
      <w:r>
        <w:rPr>
          <w:b/>
        </w:rPr>
        <w:t xml:space="preserve">작성일</w:t>
      </w:r>
      <w:r>
        <w:t xml:space="preserve">: 2026-07-15</w:t>
      </w:r>
    </w:p>
    <w:p>
      <w:pPr>
        <w:pStyle w:val="Heading1"/>
      </w:pPr>
      <w:r>
        <w:rPr>
          <w:b/>
          <w:color w:val="1B2A4A"/>
        </w:rPr>
        <w:t xml:space="preserve">1. 종합 결론</w:t>
      </w:r>
    </w:p>
    <w:p>
      <w:pPr>
        <w:jc w:val="both"/>
      </w:pPr>
      <w:r>
        <w:t xml:space="preserve">이번 진단에서 </w:t>
      </w:r>
      <w:r>
        <w:rPr>
          <w:b/>
        </w:rPr>
        <w:t xml:space="preserve">발화(PRESENT)한 리스크 신호는 없습니다.</w:t>
      </w:r>
      <w:r>
        <w:t xml:space="preserve"> 외부 공시·재무 기반 6개 진단 축(수익-채권 괴리 E1, 재고 적체 E2, 차입·이자 부담 E3, 유동성 하락 E4, 공시 행간 E5, 발생액 품질 E8)을 모두 평가했으며, 전 축이 임계값 미달로 미발화했습니다. 따라서 이 브리핑에는 서명을 요하는 개별 리스크 항목이 없으며, 아래는 미발화 판정의 성격과 후속 점검 권고입니다.</w:t>
      </w:r>
    </w:p>
    <w:p>
      <w:pPr>
        <w:pStyle w:val="Heading1"/>
      </w:pPr>
      <w:r>
        <w:rPr>
          <w:b/>
          <w:color w:val="1B2A4A"/>
        </w:rPr>
        <w:t xml:space="preserve">2. 축별 점검 결과 (전 축 미발화 — 정성 요약)</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1200"/>
        <w:gridCol w:w="5170"/>
      </w:tblGrid>
      <w:tr>
        <w:tc>
          <w:tcPr>
            <w:tcW w:w="2700" w:type="dxa"/>
            <w:shd w:val="clear" w:color="auto" w:fill="F2E8E0"/>
          </w:tcPr>
          <w:p>
            <w:pPr>
              <w:spacing w:before="40" w:after="40"/>
            </w:pPr>
            <w:r>
              <w:rPr>
                <w:b/>
                <w:color w:val="1B2A4A"/>
                <w:sz w:val="19"/>
                <w:szCs w:val="19"/>
              </w:rPr>
              <w:t xml:space="preserve">축</w:t>
            </w:r>
          </w:p>
        </w:tc>
        <w:tc>
          <w:tcPr>
            <w:tcW w:w="1200" w:type="dxa"/>
            <w:shd w:val="clear" w:color="auto" w:fill="F2E8E0"/>
          </w:tcPr>
          <w:p>
            <w:pPr>
              <w:spacing w:before="40" w:after="40"/>
            </w:pPr>
            <w:r>
              <w:rPr>
                <w:b/>
                <w:color w:val="1B2A4A"/>
                <w:sz w:val="19"/>
                <w:szCs w:val="19"/>
              </w:rPr>
              <w:t xml:space="preserve">판정</w:t>
            </w:r>
          </w:p>
        </w:tc>
        <w:tc>
          <w:tcPr>
            <w:tcW w:w="5170" w:type="dxa"/>
            <w:shd w:val="clear" w:color="auto" w:fill="F2E8E0"/>
          </w:tcPr>
          <w:p>
            <w:pPr>
              <w:spacing w:before="40" w:after="40"/>
            </w:pPr>
            <w:r>
              <w:rPr>
                <w:b/>
                <w:color w:val="1B2A4A"/>
                <w:sz w:val="19"/>
                <w:szCs w:val="19"/>
              </w:rPr>
              <w:t xml:space="preserve">정성 소견</w:t>
            </w:r>
          </w:p>
        </w:tc>
      </w:tr>
      <w:tr>
        <w:tc>
          <w:tcPr>
            <w:tcW w:w="2700" w:type="dxa"/>
          </w:tcPr>
          <w:p>
            <w:pPr>
              <w:spacing w:before="40" w:after="40"/>
            </w:pPr>
            <w:r>
              <w:rPr>
                <w:sz w:val="19"/>
                <w:szCs w:val="19"/>
              </w:rPr>
              <w:t xml:space="preserve">E1 수익-채권 괴리</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매출과 매출채권이 같은 방향으로 움직여 임계 괴리에 이르지 않았고, 영업이익의 현금 전환도 기준선을 상회</w:t>
            </w:r>
          </w:p>
        </w:tc>
      </w:tr>
      <w:tr>
        <w:tc>
          <w:tcPr>
            <w:tcW w:w="2700" w:type="dxa"/>
          </w:tcPr>
          <w:p>
            <w:pPr>
              <w:spacing w:before="40" w:after="40"/>
            </w:pPr>
            <w:r>
              <w:rPr>
                <w:sz w:val="19"/>
                <w:szCs w:val="19"/>
              </w:rPr>
              <w:t xml:space="preserve">E2 재고 자산 적체</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매출 감소 국면에서 재고도 함께 줄어 적체 패턴에 해당하지 않음</w:t>
            </w:r>
          </w:p>
        </w:tc>
      </w:tr>
      <w:tr>
        <w:tc>
          <w:tcPr>
            <w:tcW w:w="2700" w:type="dxa"/>
          </w:tcPr>
          <w:p>
            <w:pPr>
              <w:spacing w:before="40" w:after="40"/>
            </w:pPr>
            <w:r>
              <w:rPr>
                <w:sz w:val="19"/>
                <w:szCs w:val="19"/>
              </w:rPr>
              <w:t xml:space="preserve">E3 차입 확대·이자 부담</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차입 규모가 늘지 않았고 이자보상 여력이 임계 하한을 상회</w:t>
            </w:r>
          </w:p>
        </w:tc>
      </w:tr>
      <w:tr>
        <w:tc>
          <w:tcPr>
            <w:tcW w:w="2700" w:type="dxa"/>
          </w:tcPr>
          <w:p>
            <w:pPr>
              <w:spacing w:before="40" w:after="40"/>
            </w:pPr>
            <w:r>
              <w:rPr>
                <w:sz w:val="19"/>
                <w:szCs w:val="19"/>
              </w:rPr>
              <w:t xml:space="preserve">E4 유동성 하락</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유동비율이 임계 하한 위에 있으며 2년 연속 하락 요건에 해당하지 않음</w:t>
            </w:r>
          </w:p>
        </w:tc>
      </w:tr>
      <w:tr>
        <w:tc>
          <w:tcPr>
            <w:tcW w:w="2700" w:type="dxa"/>
          </w:tcPr>
          <w:p>
            <w:pPr>
              <w:spacing w:before="40" w:after="40"/>
            </w:pPr>
            <w:r>
              <w:rPr>
                <w:sz w:val="19"/>
                <w:szCs w:val="19"/>
              </w:rPr>
              <w:t xml:space="preserve">E5 공시 행간</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최근 공시 창에서 정정·해명·감사 관련 이상 패턴이 관찰되지 않음</w:t>
            </w:r>
          </w:p>
        </w:tc>
      </w:tr>
      <w:tr>
        <w:tc>
          <w:tcPr>
            <w:tcW w:w="2700" w:type="dxa"/>
          </w:tcPr>
          <w:p>
            <w:pPr>
              <w:spacing w:before="40" w:after="40"/>
            </w:pPr>
            <w:r>
              <w:rPr>
                <w:sz w:val="19"/>
                <w:szCs w:val="19"/>
              </w:rPr>
              <w:t xml:space="preserve">E8 발생액 품질</w:t>
            </w:r>
          </w:p>
        </w:tc>
        <w:tc>
          <w:tcPr>
            <w:tcW w:w="1200" w:type="dxa"/>
          </w:tcPr>
          <w:p>
            <w:pPr>
              <w:spacing w:before="40" w:after="40"/>
            </w:pPr>
            <w:r>
              <w:rPr>
                <w:sz w:val="19"/>
                <w:szCs w:val="19"/>
              </w:rPr>
              <w:t xml:space="preserve">미발화</w:t>
            </w:r>
          </w:p>
        </w:tc>
        <w:tc>
          <w:tcPr>
            <w:tcW w:w="5170" w:type="dxa"/>
          </w:tcPr>
          <w:p>
            <w:pPr>
              <w:spacing w:before="40" w:after="40"/>
            </w:pPr>
            <w:r>
              <w:rPr>
                <w:sz w:val="19"/>
                <w:szCs w:val="19"/>
              </w:rPr>
              <w:t xml:space="preserve">이익 대비 영업현금흐름이 오히려 견조한 방향으로, 현금 뒷받침 없는 이익 패턴에 해당하지 않음</w:t>
            </w:r>
          </w:p>
        </w:tc>
      </w:tr>
    </w:tbl>
    <w:p>
      <w:pPr>
        <w:pBdr>
          <w:left w:val="single" w:sz="24" w:space="8" w:color="D04A02"/>
        </w:pBdr>
        <w:shd w:val="clear" w:color="auto" w:fill="FBF4EE"/>
        <w:spacing w:before="60" w:after="120" w:line="276" w:lineRule="auto"/>
        <w:ind w:left="284" w:right="284"/>
        <w:jc w:val="both"/>
      </w:pPr>
      <w:r>
        <w:t xml:space="preserve">한 가지 맥락으로 짚어둘 점은, 이번 데이터에서 </w:t>
      </w:r>
      <w:r>
        <w:rPr>
          <w:b/>
        </w:rPr>
        <w:t xml:space="preserve">매출이 전년 대비 감소 국면</w:t>
      </w:r>
      <w:r>
        <w:t xml:space="preserve">이라는 사실입니다. 이는 본 프레임워크의 진단 축(회계 왜곡·유동성·공시 신뢰성)이 포착하는 리스크 유형은 아니지만, 성장성 관점의 경영 과제로서 별도 검토 가치가 있습니다. 다만 채권·재고·차입이 매출 감소에 동행 축소되고 현금 전환이 유지되고 있다는 점은, 축소 국면을 재무적으로 무리 없이 관리하고 있다는 정합적 그림입니다.</w:t>
      </w:r>
    </w:p>
    <w:p>
      <w:pPr>
        <w:pStyle w:val="Heading1"/>
      </w:pPr>
      <w:r>
        <w:rPr>
          <w:b/>
          <w:color w:val="1B2A4A"/>
        </w:rPr>
        <w:t xml:space="preserve">3. 권고 조치 (리스크 대응이 아닌 상시 관리 수준)</w:t>
      </w:r>
    </w:p>
    <w:p>
      <w:pPr>
        <w:jc w:val="both"/>
      </w:pPr>
      <w:r>
        <w:t xml:space="preserve">1. </w:t>
      </w:r>
      <w:r>
        <w:rPr>
          <w:b/>
        </w:rPr>
        <w:t xml:space="preserve">분기 단위 재진단 유지</w:t>
      </w:r>
      <w:r>
        <w:t xml:space="preserve"> — 미발화는 "현 시점 데이터 기준 임계값 미달"이지 리스크 부재의 보증이 아닙니다. 다음 분기 보고서 공시 후 동일 프레임워크로 재진단을 권고합니다.</w:t>
      </w:r>
    </w:p>
    <w:p>
      <w:pPr>
        <w:jc w:val="both"/>
      </w:pPr>
      <w:r>
        <w:t xml:space="preserve">2. </w:t>
      </w:r>
      <w:r>
        <w:rPr>
          <w:b/>
        </w:rPr>
        <w:t xml:space="preserve">매출 감소 국면의 선행 관리</w:t>
      </w:r>
      <w:r>
        <w:t xml:space="preserve"> — 매출 축소가 이어질 경우 고정비 레버리지로 수익성·현금흐름 신호(E1·E8)가 후행 발화할 수 있습니다. 수주·수요 파이프라인을 재무 신호보다 앞선 선행지표로 내부 모니터링에 두시길 권고합니다.</w:t>
      </w:r>
    </w:p>
    <w:p>
      <w:pPr>
        <w:jc w:val="both"/>
      </w:pPr>
      <w:r>
        <w:t xml:space="preserve">3. </w:t>
      </w:r>
      <w:r>
        <w:rPr>
          <w:b/>
        </w:rPr>
        <w:t xml:space="preserve">내부 데이터 축 개방 검토</w:t>
      </w:r>
      <w:r>
        <w:t xml:space="preserve"> — 이번 진단은 공시·거시 데이터만 사용한 기본 모드였습니다. 내부 원장 CSV를 제공하면 거래처 집중도·원가 왜곡 등 공시로는 보이지 않는 상세 축 점검이 가능합니다.</w:t>
      </w:r>
    </w:p>
    <w:p>
      <w:pPr>
        <w:pStyle w:val="Heading1"/>
      </w:pPr>
      <w:r>
        <w:rPr>
          <w:b/>
          <w:color w:val="1B2A4A"/>
        </w:rPr>
        <w:t xml:space="preserve">4. 확인 범위와 한계</w:t>
      </w:r>
    </w:p>
    <w:p>
      <w:pPr>
        <w:pStyle w:val="ListParagraph"/>
        <w:numPr>
          <w:ilvl w:val="0"/>
          <w:numId w:val="1"/>
        </w:numPr>
        <w:jc w:val="both"/>
      </w:pPr>
      <w:r>
        <w:t xml:space="preserve">본 브리핑은 2025 회계연도 연결 공시 재무제표, 최근 90일 공시 이력, 한국은행 기준금리 데이터에서 </w:t>
      </w:r>
      <w:r>
        <w:rPr>
          <w:b/>
        </w:rPr>
        <w:t xml:space="preserve">결정론적으로 파생된 신호만을</w:t>
      </w:r>
      <w:r>
        <w:t xml:space="preserve"> 근거로 합니다. 뉴스·시장(주가) 축과 내부 데이터, 비정형 문서는 이번 진단 범위에 포함되지 않았습니다.</w:t>
      </w:r>
    </w:p>
    <w:p>
      <w:pPr>
        <w:pStyle w:val="ListParagraph"/>
        <w:numPr>
          <w:ilvl w:val="0"/>
          <w:numId w:val="1"/>
        </w:numPr>
        <w:jc w:val="both"/>
      </w:pPr>
      <w:r>
        <w:t xml:space="preserve">전 신호 미발화는 </w:t>
      </w:r>
      <w:r>
        <w:rPr>
          <w:b/>
        </w:rPr>
        <w:t xml:space="preserve">점검한 축에서 임계값을 넘는 이상 패턴이 관찰되지 않았다</w:t>
      </w:r>
      <w:r>
        <w:t xml:space="preserve">는 의미이며, 회계 적정성이나 경영 건전성 전반에 대한 판정이 아닙니다. 임계값 아래의 완만한 악화, 공시에 반영되지 않은 기중 사건, 연결 범위 밖 거래는 본 진단이 포착하지 못합니다.</w:t>
      </w:r>
    </w:p>
    <w:p>
      <w:pPr>
        <w:pStyle w:val="ListParagraph"/>
        <w:numPr>
          <w:ilvl w:val="0"/>
          <w:numId w:val="1"/>
        </w:numPr>
        <w:jc w:val="both"/>
      </w:pPr>
      <w:r>
        <w:t xml:space="preserve">매출 감소 국면 언급은 진단 신호가 아닌 맥락 정보이며, 원인(업황·수주 주기·일회성 요인) 판별은 별도 분석이 필요합니다.</w:t>
      </w:r>
    </w:p>
    <w:p>
      <w:pPr>
        <w:pStyle w:val="ListParagraph"/>
        <w:numPr>
          <w:ilvl w:val="0"/>
          <w:numId w:val="1"/>
        </w:numPr>
        <w:jc w:val="both"/>
      </w:pPr>
      <w:r>
        <w:t xml:space="preserve">본 문서의 판단은 확정적 결론이 아니라 현 데이터 기준의 점검 결과이며, 차기 공시 데이터로 반증·갱신될 수 있습니다.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티이엠씨씨엔에스(주)</dc:title>
  <dc:creator>Trusted CEO Agent</dc:creator>
  <cp:lastModifiedBy>Trusted CEO Agent</cp:lastModifiedBy>
  <dcterms:created xsi:type="dcterms:W3CDTF">2026-07-14T00:00:00Z</dcterms:created>
  <dcterms:modified xsi:type="dcterms:W3CDTF">2026-07-14T00:00:00Z</dcterms:modified>
</cp:coreProperties>
</file>