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현대모비스(주) CEO 서명용 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커뮤니케이션의 행간 신호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</w:t>
      </w:r>
      <w:r>
        <w:t xml:space="preserve">: 현대모비스(주) (종목코드 012330, 법인 00164788) · CEO 정의선, 이규석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기준</w:t>
      </w:r>
      <w:r>
        <w:t xml:space="preserve">: 연결재무제표(CFS) 2025 사업연도 · 공시 관찰창 90일 · 거시: 한국은행 기준금리 2.5%(변동 0)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판정 요약</w:t>
      </w:r>
      <w:r>
        <w:t xml:space="preserve">: 기계 검증(불변식 게이트·외부 신호 파생) 결과 리스크로 승격된 신호는 </w:t>
      </w:r>
      <w:r>
        <w:rPr>
          <w:b/>
        </w:rPr>
        <w:t xml:space="preserve">1건(E5 공시 행간)</w:t>
      </w:r>
      <w:r>
        <w:t xml:space="preserve">입니다. 재무 구조 축(수익-채권·재고·차입·유동성·발생액 품질)은 모두 임계값 미달로 미발화했습니다.</w:t>
      </w:r>
    </w:p>
    <w:p>
      <w:pPr>
        <w:pStyle w:val="Heading1"/>
      </w:pPr>
      <w:r>
        <w:rPr>
          <w:b/>
          <w:color w:val="1B2A4A"/>
        </w:rPr>
        <w:t xml:space="preserve">리스크 1 — 공시 커뮤니케이션의 행간 신호 (E5)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관찰창 내 공시 흐름에서 정정 1건과 시장 풍문/보도에 대한 해명성 답변 1건이 확인되어, 대외 커뮤니케이션의 정합성을 점검할 여지가 있습니다. 재무 위기 신호가 아니라 </w:t>
      </w:r>
      <w:r>
        <w:rPr>
          <w:b/>
        </w:rPr>
        <w:t xml:space="preserve">정보 전달 프로세스</w:t>
      </w:r>
      <w:r>
        <w:t xml:space="preserve"> 차원의 관찰 신호입니다.</w:t>
      </w:r>
    </w:p>
    <w:p>
      <w:pPr>
        <w:jc w:val="both"/>
      </w:pPr>
      <w:r>
        <w:rPr>
          <w:b/>
        </w:rPr>
        <w:t xml:space="preserve">근거(수치+출처)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관찰창 90일 동안 총 공시 25건 중 정정 1건, 해명성 공시 1건("조회공시요구(풍문또는보도)에대한답변(미확정)" @2026-04-24). 감사 관련 플래그는 없음. (출처: DART 전자공시 목록, 진단 패킷 E5)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시장의 풍문·보도에 대한 답변이 "미확정" 상태로 남으면, 투자자·거래처는 확정 공시가 나올 때까지 정보 공백을 스스로의 추측으로 메웁니다. 이 추측이 반복되면 회사가 의도하지 않은 방향으로 기대가 형성되고, 이후 확정 공시가 그 기대와 어긋날 때 신뢰 비용이 발생합니다. 정정 공시 역시 단순 오기라면 무해하지만, 수치 변경을 동반하는 정정이 누적되면 공시 검수 체인의 신뢰도 자체가 질문의 대상이 됩니다.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</w:p>
    <w:p>
      <w:pPr>
        <w:jc w:val="both"/>
      </w:pPr>
      <w:r>
        <w:t xml:space="preserve">(정정 1건·해명 1건은 대기업의 통상 공시 빈도 대비 낮은 수준이며, 사유 분류가 확인되기 전에는 프로세스 문제로 단정할 수 없습니다.)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공시의 사유를 분류(단순 오기 vs 수치 변경)해 재무 수치 변경 여부를 확인합니다.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2026-04-24 해명 답변의 </w:t>
      </w:r>
      <w:r>
        <w:rPr>
          <w:b/>
        </w:rPr>
        <w:t xml:space="preserve">대상 보도</w:t>
      </w:r>
      <w:r>
        <w:t xml:space="preserve">와 그 이후 나온 </w:t>
      </w:r>
      <w:r>
        <w:rPr>
          <w:b/>
        </w:rPr>
        <w:t xml:space="preserve">후속 확정 공시</w:t>
      </w:r>
      <w:r>
        <w:t xml:space="preserve">를 대조해, 미확정이 언제·어떤 내용으로 확정되었는지 추적합니다.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두 건 모두 무해(단순 오기·풍문 부인 확정)로 확인되면 이 신호는 소거됩니다.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jc w:val="both"/>
      </w:pPr>
      <w:r>
        <w:t xml:space="preserve">공시 검수 체인(작성→법무·회계 검토→공시책임자 승인) 점검을 IR/공시팀에 지시하고, 미확정 답변 건의 후속 확정 공시 상태를 다음 정례 보고에 포함하도록 합니다.</w:t>
      </w:r>
    </w:p>
    <w:p>
      <w:pPr>
        <w:pStyle w:val="Heading1"/>
      </w:pPr>
      <w:r>
        <w:rPr>
          <w:b/>
          <w:color w:val="1B2A4A"/>
        </w:rPr>
        <w:t xml:space="preserve">참고 — 이번 관찰창에서 미발화한 축 (리스크 아님)</w:t>
      </w:r>
    </w:p>
    <w:p>
      <w:pPr>
        <w:jc w:val="both"/>
      </w:pPr>
      <w:r>
        <w:t xml:space="preserve">아래 축은 모두 결정론적 임계값 판정에서 </w:t>
      </w:r>
      <w:r>
        <w:rPr>
          <w:b/>
        </w:rPr>
        <w:t xml:space="preserve">미발화</w:t>
      </w:r>
      <w:r>
        <w:t xml:space="preserve">했습니다. 리스크로 다루지 않으며, 다음 관찰창의 정상 기준선으로 이해하시면 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수익-채권 괴리(E1)·발생액 품질(E8)</w:t>
      </w:r>
      <w:r>
        <w:t xml:space="preserve">: 매출 성장과 채권 증가가 역전되지 않았고, 영업활동현금흐름이 이익을 상회해 이익의 현금 뒷받침이 유지되고 있습니다. 임계값 미달로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재고 적체(E2)</w:t>
      </w:r>
      <w:r>
        <w:t xml:space="preserve">: 재고 증가율이 매출 성장률을 밑돌아 적체 신호가 나타나지 않았습니다. 임계값 미달로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차입·이자 부담(E3)</w:t>
      </w:r>
      <w:r>
        <w:t xml:space="preserve">: 차입금이 확대되지 않았고 이자보상배율도 임계 기준을 상회합니다. 다만 배율의 전년 대비 하락 폭은 다음 관찰창에서 추세로만 확인할 가치가 있습니다. 임계값 미달로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유동성(E4)</w:t>
      </w:r>
      <w:r>
        <w:t xml:space="preserve">: 유동비율이 하락 추세가 아니어서 미발화. 임계값 미달로 미발화.</w:t>
      </w:r>
    </w:p>
    <w:p>
      <w:pPr>
        <w:jc w:val="both"/>
      </w:pPr>
      <w:r>
        <w:t xml:space="preserve">&gt; 미발화 축의 근거 수치는 오탐 방지를 위해 본 브리핑에 옮기지 않았습니다. 필요 시 진단 패킷 원본으로 확인하실 수 있습니다.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</w:t>
      </w:r>
      <w:r>
        <w:rPr>
          <w:b/>
        </w:rPr>
        <w:t xml:space="preserve">연결재무제표(CFS) 2025년 기준 공시·거시 데이터</w:t>
      </w:r>
      <w:r>
        <w:t xml:space="preserve">에서 결정론적으로 파생한 신호에 근거하며, 내부 CSV(거래처 집중·원가·공시 대사)·뉴스·시장·문서 축은 이번 진단에 </w:t>
      </w:r>
      <w:r>
        <w:rPr>
          <w:b/>
        </w:rPr>
        <w:t xml:space="preserve">제공되지 않았습니다</w:t>
      </w:r>
      <w:r>
        <w:t xml:space="preserve">(internal/news/market/docs = 없음).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유일한 발화 신호(E5)는 </w:t>
      </w:r>
      <w:r>
        <w:rPr>
          <w:b/>
        </w:rPr>
        <w:t xml:space="preserve">정성 관찰 신호</w:t>
      </w:r>
      <w:r>
        <w:t xml:space="preserve">로, 재무 건전성 문제를 시사하지 않습니다. 정정·해명 공시의 사유가 확정되기 전까지는 프로세스 리스크 여부를 판단할 수 없습니다.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관찰창은 최근 90일로 한정되며, 그 이전의 공시·재무 추세는 이 판정에 반영되지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 문서는 의사결정 보조용 신호 요약이며, 회계·법률상의 확정 판단을 대체하지 않습니다. 판별 테스트 결과에 따라 신호는 강화되거나 소거될 수 있습니다.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현대모비스(주) CEO 서명용 리스크 브리핑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