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리스크 브리핑 — (주)엘지에너지솔루션</w:t>
      </w:r>
    </w:p>
    <w:p>
      <w:pPr>
        <w:spacing w:after="160"/>
      </w:pPr>
      <w:r>
        <w:rPr>
          <w:b/>
          <w:color w:val="D04A02"/>
          <w:sz w:val="20"/>
          <w:szCs w:val="20"/>
        </w:rPr>
        <w:t xml:space="preserve">대외비 · Confidential</w:t>
      </w:r>
    </w:p>
    <w:p>
      <w:pPr>
        <w:spacing w:after="600"/>
      </w:pPr>
      <w:r>
        <w:rPr>
          <w:color w:val="595959"/>
          <w:sz w:val="20"/>
          <w:szCs w:val="20"/>
        </w:rPr>
        <w:t xml:space="preserve">작성일 2026-07-10</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유동성 하락 — 유동비율 2년 연속 하락, 점검 구간 진입</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CFO 에게 12개월 유동성 계획(상환 스케줄 + 여신한도 + 투자 집행 일정 통합)을 이번 분기 내 보고받고, 유동비율 100% 하회 시 자동 발동되는 투자 집행 조정 트리거를 사전에 합의해 두십시오.</w:t>
            </w:r>
          </w:p>
        </w:tc>
      </w:tr>
      <w:tr>
        <w:tc>
          <w:tcPr>
            <w:tcW w:w="700" w:type="dxa"/>
            <w:vAlign w:val="center"/>
          </w:tcPr>
          <w:p>
            <w:pPr>
              <w:spacing w:before="60" w:after="60"/>
            </w:pPr>
            <w:r>
              <w:rPr>
                <w:b/>
                <w:color w:val="D04A02"/>
                <w:sz w:val="19"/>
                <w:szCs w:val="19"/>
              </w:rPr>
              <w:t xml:space="preserve">R2</w:t>
            </w:r>
          </w:p>
        </w:tc>
        <w:tc>
          <w:tcPr>
            <w:tcW w:w="3300" w:type="dxa"/>
            <w:vAlign w:val="center"/>
          </w:tcPr>
          <w:p>
            <w:pPr>
              <w:spacing w:before="60" w:after="60"/>
            </w:pPr>
            <w:r>
              <w:rPr>
                <w:b/>
                <w:sz w:val="19"/>
                <w:szCs w:val="19"/>
              </w:rPr>
              <w:t xml:space="preserve">공시 행간 — 90일 창 내 정정 공시 3건, 공시 품질 점검 필요</w:t>
            </w:r>
          </w:p>
        </w:tc>
        <w:tc>
          <w:tcPr>
            <w:tcW w:w="1100" w:type="dxa"/>
            <w:vAlign w:val="center"/>
          </w:tcPr>
          <w:p>
            <w:pPr>
              <w:spacing w:before="60" w:after="60"/>
            </w:pPr>
            <w:r>
              <w:rPr>
                <w:b/>
                <w:color w:val="B45309"/>
                <w:sz w:val="19"/>
                <w:szCs w:val="19"/>
              </w:rPr>
              <w:t xml:space="preserve">가설</w:t>
            </w:r>
          </w:p>
        </w:tc>
        <w:tc>
          <w:tcPr>
            <w:tcW w:w="3970" w:type="dxa"/>
            <w:vAlign w:val="center"/>
          </w:tcPr>
          <w:p>
            <w:pPr>
              <w:spacing w:before="60" w:after="60"/>
            </w:pPr>
            <w:r>
              <w:rPr>
                <w:sz w:val="19"/>
                <w:szCs w:val="19"/>
              </w:rPr>
              <w:t xml:space="preserve">공시 책임 임원에게 정정 3건의 사유 분류표(단순 오기 / 수치 변경 / 판단 변경)를 2주 내 제출받고, 수치 변경이 1건이라도 포함되면 공시 전 검수 체인에 재무·법무 이중 확인 단계를 추가하십시오.</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ListParagraph"/>
        <w:numPr>
          <w:ilvl w:val="0"/>
          <w:numId w:val="1"/>
        </w:numPr>
        <w:jc w:val="both"/>
      </w:pPr>
      <w:r>
        <w:rPr>
          <w:b/>
        </w:rPr>
        <w:t xml:space="preserve">대상 기업</w:t>
      </w:r>
      <w:r>
        <w:t xml:space="preserve">: (주)엘지에너지솔루션 (종목코드 373220, 사업자등록번호 851-81-02050, 대표이사 김동명)</w:t>
      </w:r>
    </w:p>
    <w:p>
      <w:pPr>
        <w:pStyle w:val="ListParagraph"/>
        <w:numPr>
          <w:ilvl w:val="0"/>
          <w:numId w:val="1"/>
        </w:numPr>
        <w:jc w:val="both"/>
      </w:pPr>
      <w:r>
        <w:rPr>
          <w:b/>
        </w:rPr>
        <w:t xml:space="preserve">진단 기준</w:t>
      </w:r>
      <w:r>
        <w:t xml:space="preserve">: 2025 사업연도 연결재무제표(CFS), DART 공시(관찰 창 90일), 한국은행 ECOS, 뉴스 메타데이터(보조 신호)</w:t>
      </w:r>
    </w:p>
    <w:p>
      <w:pPr>
        <w:pStyle w:val="ListParagraph"/>
        <w:numPr>
          <w:ilvl w:val="0"/>
          <w:numId w:val="1"/>
        </w:numPr>
        <w:jc w:val="both"/>
      </w:pPr>
      <w:r>
        <w:rPr>
          <w:b/>
        </w:rPr>
        <w:t xml:space="preserve">결과 요약</w:t>
      </w:r>
      <w:r>
        <w:t xml:space="preserve">: 평가된 외부 신호 중 </w:t>
      </w:r>
      <w:r>
        <w:rPr>
          <w:b/>
        </w:rPr>
        <w:t xml:space="preserve">2건 발화</w:t>
      </w:r>
      <w:r>
        <w:t xml:space="preserve"> — ① 유동성 하락(E4), ② 공시 행간(E5). 나머지 신호는 임계값 미달로 미발화.</w:t>
      </w:r>
    </w:p>
    <w:p>
      <w:pPr>
        <w:pStyle w:val="Heading1"/>
      </w:pPr>
      <w:r>
        <w:rPr>
          <w:b/>
          <w:color w:val="1B2A4A"/>
        </w:rPr>
        <w:t xml:space="preserve">리스크 1. 유동성 하락 — 유동비율 2년 연속 하락, 점검 구간 진입</w:t>
      </w:r>
    </w:p>
    <w:p>
      <w:pPr>
        <w:jc w:val="both"/>
      </w:pPr>
      <w:r>
        <w:rPr>
          <w:b/>
          <w:color w:val="1B2A4A"/>
        </w:rPr>
        <w:t xml:space="preserve">결론. </w:t>
      </w:r>
      <w:r>
        <w:t xml:space="preserve">유동비율이 157.3% → 127.1% → </w:t>
      </w:r>
      <w:r>
        <w:rPr>
          <w:b/>
        </w:rPr>
        <w:t xml:space="preserve">109.7%</w:t>
      </w:r>
      <w:r>
        <w:t xml:space="preserve"> 로 2년 연속 하락해 주의 기준(130%)을 하회했고, 하한 기준(100%)에 근접하고 있습니다. 단기 지급 능력의 여유 폭이 축소되는 추세입니다.</w:t>
      </w:r>
    </w:p>
    <w:p>
      <w:pPr>
        <w:spacing w:before="240" w:after="80"/>
      </w:pPr>
      <w:r>
        <w:rPr>
          <w:b/>
          <w:color w:val="1B2A4A"/>
          <w:sz w:val="22"/>
          <w:szCs w:val="22"/>
        </w:rPr>
        <w:t xml:space="preserve">**근거 (수치 + 출처)**</w:t>
      </w:r>
    </w:p>
    <w:p>
      <w:pPr>
        <w:pStyle w:val="ListParagraph"/>
        <w:numPr>
          <w:ilvl w:val="0"/>
          <w:numId w:val="1"/>
        </w:numPr>
        <w:jc w:val="both"/>
      </w:pPr>
      <w:r>
        <w:t xml:space="preserve">유동비율 추이: 157.3% → 127.1% → 109.7% (DART 연결재무제표, 2025 사업연도 기준 3개년)</w:t>
      </w:r>
    </w:p>
    <w:p>
      <w:pPr>
        <w:pStyle w:val="ListParagraph"/>
        <w:numPr>
          <w:ilvl w:val="0"/>
          <w:numId w:val="1"/>
        </w:numPr>
        <w:jc w:val="both"/>
      </w:pPr>
      <w:r>
        <w:t xml:space="preserve">2년 연속 하락 확인 (fallingTwoYears: true)</w:t>
      </w:r>
    </w:p>
    <w:p>
      <w:pPr>
        <w:pStyle w:val="ListParagraph"/>
        <w:numPr>
          <w:ilvl w:val="0"/>
          <w:numId w:val="1"/>
        </w:numPr>
        <w:jc w:val="both"/>
      </w:pPr>
      <w:r>
        <w:t xml:space="preserve">거시 환경: 한국은행 기준금리 2.5% (ECOS, 2026-07-08 기준, 관찰 기간 내 변동 없음)</w:t>
      </w:r>
    </w:p>
    <w:p>
      <w:pPr>
        <w:pStyle w:val="ListParagraph"/>
        <w:numPr>
          <w:ilvl w:val="0"/>
          <w:numId w:val="1"/>
        </w:numPr>
        <w:jc w:val="both"/>
      </w:pPr>
      <w:r>
        <w:t xml:space="preserve">보조 신호: 투자동향/자금소요 관련 뉴스 16건 감지 — 증설·설비 투자 테마가 자금 소요와 겹치는 시기임 (뉴스 메타데이터, 확정 사실 아님)</w:t>
      </w:r>
    </w:p>
    <w:p>
      <w:pPr>
        <w:jc w:val="both"/>
      </w:pPr>
      <w:r>
        <w:rPr>
          <w:b/>
        </w:rPr>
        <w:t xml:space="preserve">왜 문제인가 (인과 사슬)</w:t>
      </w:r>
      <w:r>
        <w:t xml:space="preserve">: 배터리 산업의 대규모 증설 사이클에서는 설비 투자가 먼저 나가고 회수는 뒤따라 들어옵니다. 이 구조에서 유동자산 대비 유동부채의 여유가 해마다 줄어들면, 단기 상환 도래분을 영업현금이 아닌 차환(재조달)에 의존하는 비중이 커집니다. 차환 의존이 커진 상태에서 조달 시장이 경색되거나 대형 계약 변동 같은 외생 충격이 겹치면, 정상적인 투자 계획 자체가 유동성 일정에 종속되는 역전이 발생할 수 있습니다. 지금은 하한선 위에 있으나, 추세가 문제입니다.</w:t>
      </w:r>
    </w:p>
    <w:p>
      <w:pPr>
        <w:jc w:val="both"/>
      </w:pPr>
      <w:r>
        <w:rPr>
          <w:b/>
          <w:color w:val="1B2A4A"/>
        </w:rPr>
        <w:t xml:space="preserve">확신도. </w:t>
      </w:r>
      <w:r>
        <w:rPr>
          <w:b/>
          <w:color w:val="1F7A33"/>
        </w:rPr>
        <w:t xml:space="preserve">확인됨</w:t>
      </w:r>
      <w:r>
        <w:t xml:space="preserve"> (재무제표 수치로 하락 추세 자체는 확정 — 다만 "위기"가 아닌 "점검 신호" 단계)</w:t>
      </w:r>
    </w:p>
    <w:p>
      <w:pPr>
        <w:jc w:val="both"/>
      </w:pPr>
      <w:r>
        <w:rPr>
          <w:b/>
          <w:color w:val="1B2A4A"/>
        </w:rPr>
        <w:t xml:space="preserve">판별 테스트. </w:t>
      </w:r>
    </w:p>
    <w:p>
      <w:pPr>
        <w:jc w:val="both"/>
      </w:pPr>
      <w:r>
        <w:t xml:space="preserve">1. 단기차입 상환 스케줄을 분기 단위로 펼쳐 향후 12개월 상환 도래액과 예상 영업현금흐름을 대사</w:t>
      </w:r>
    </w:p>
    <w:p>
      <w:pPr>
        <w:jc w:val="both"/>
      </w:pPr>
      <w:r>
        <w:t xml:space="preserve">2. 미사용 여신한도(주석) 확인 — 한도가 충분하면 유동비율 하락의 실질 위험은 완충됨</w:t>
      </w:r>
    </w:p>
    <w:p>
      <w:pPr>
        <w:jc w:val="both"/>
      </w:pPr>
      <w:r>
        <w:t xml:space="preserve">3. 현금성자산 대비 단기부채 비율을 별도로 산출해 유동비율 하락이 재고·채권 축소 때문인지, 현금 소진 때문인지 분해</w:t>
      </w:r>
    </w:p>
    <w:p>
      <w:pPr>
        <w:jc w:val="both"/>
      </w:pPr>
      <w:r>
        <w:rPr>
          <w:b/>
          <w:color w:val="1B2A4A"/>
        </w:rPr>
        <w:t xml:space="preserve">권고 조치. </w:t>
      </w:r>
      <w:r>
        <w:t xml:space="preserve">CFO 에게 12개월 유동성 계획(상환 스케줄 + 여신한도 + 투자 집행 일정 통합)을 이번 분기 내 보고받고, 유동비율 100% 하회 시 자동 발동되는 투자 집행 조정 트리거를 사전에 합의해 두십시오.</w:t>
      </w:r>
    </w:p>
    <w:p>
      <w:pPr>
        <w:pStyle w:val="Heading1"/>
      </w:pPr>
      <w:r>
        <w:rPr>
          <w:b/>
          <w:color w:val="1B2A4A"/>
        </w:rPr>
        <w:t xml:space="preserve">리스크 2. 공시 행간 — 90일 창 내 정정 공시 3건, 공시 품질 점검 필요</w:t>
      </w:r>
    </w:p>
    <w:p>
      <w:pPr>
        <w:jc w:val="both"/>
      </w:pPr>
      <w:r>
        <w:rPr>
          <w:b/>
          <w:color w:val="1B2A4A"/>
        </w:rPr>
        <w:t xml:space="preserve">결론. </w:t>
      </w:r>
      <w:r>
        <w:t xml:space="preserve">최근 90일 관찰 창에서 전체 공시 17건 중 </w:t>
      </w:r>
      <w:r>
        <w:rPr>
          <w:b/>
        </w:rPr>
        <w:t xml:space="preserve">정정 공시가 3건</w:t>
      </w:r>
      <w:r>
        <w:t xml:space="preserve"> 발생해 임계값(3건 이상)에 도달했습니다. 공시 검수 체인의 품질 점검이 필요한 패턴입니다.</w:t>
      </w:r>
    </w:p>
    <w:p>
      <w:pPr>
        <w:spacing w:before="240" w:after="80"/>
      </w:pPr>
      <w:r>
        <w:rPr>
          <w:b/>
          <w:color w:val="1B2A4A"/>
          <w:sz w:val="22"/>
          <w:szCs w:val="22"/>
        </w:rPr>
        <w:t xml:space="preserve">**근거 (수치 + 출처)**</w:t>
      </w:r>
    </w:p>
    <w:p>
      <w:pPr>
        <w:pStyle w:val="ListParagraph"/>
        <w:numPr>
          <w:ilvl w:val="0"/>
          <w:numId w:val="1"/>
        </w:numPr>
        <w:jc w:val="both"/>
      </w:pPr>
      <w:r>
        <w:t xml:space="preserve">관찰 창 90일 내 전체 공시 17건, 그중 정정 3건 (DART 공시목록)</w:t>
      </w:r>
    </w:p>
    <w:p>
      <w:pPr>
        <w:pStyle w:val="ListParagraph"/>
        <w:numPr>
          <w:ilvl w:val="0"/>
          <w:numId w:val="1"/>
        </w:numPr>
        <w:jc w:val="both"/>
      </w:pPr>
      <w:r>
        <w:t xml:space="preserve">풍문·해명 공시는 같은 창 내 0건 — 정정이 외부 보도 대응이 아닌 내부 산출물 수정에서 나온 패턴</w:t>
      </w:r>
    </w:p>
    <w:p>
      <w:pPr>
        <w:pStyle w:val="ListParagraph"/>
        <w:numPr>
          <w:ilvl w:val="0"/>
          <w:numId w:val="1"/>
        </w:numPr>
        <w:jc w:val="both"/>
      </w:pPr>
      <w:r>
        <w:t xml:space="preserve">보조 신호: 규제/소송/운영 리스크 관련 뉴스 24건 감지 (뉴스 메타데이터, 확정 사실 아님)</w:t>
      </w:r>
    </w:p>
    <w:p>
      <w:pPr>
        <w:jc w:val="both"/>
      </w:pPr>
      <w:r>
        <w:rPr>
          <w:b/>
        </w:rPr>
        <w:t xml:space="preserve">왜 문제인가 (인과 사슬)</w:t>
      </w:r>
      <w:r>
        <w:t xml:space="preserve">: 정정 공시가 반복되면 그 자체의 손익 영향보다, 시장과 감독당국이 회사의 숫자 산출 프로세스를 신뢰하는 정도가 먼저 훼손됩니다. 신뢰가 훼손된 상태에서는 정상적인 공시조차 "또 바뀌는 것 아니냐"는 할인을 받게 되고, 이는 조달 비용과 규제 대응 비용으로 되돌아옵니다. 특히 유동성 관리(리스크 1)를 위해 시장 조달 창구를 열어 두어야 하는 시기에는 공시 신뢰가 곧 조달 조건입니다.</w:t>
      </w:r>
    </w:p>
    <w:p>
      <w:pPr>
        <w:jc w:val="both"/>
      </w:pPr>
      <w:r>
        <w:rPr>
          <w:b/>
          <w:color w:val="1B2A4A"/>
        </w:rPr>
        <w:t xml:space="preserve">확신도. </w:t>
      </w:r>
      <w:r>
        <w:rPr>
          <w:b/>
          <w:color w:val="B45309"/>
        </w:rPr>
        <w:t xml:space="preserve">가설</w:t>
      </w:r>
      <w:r>
        <w:t xml:space="preserve"> (정정 3건 발생은 확인된 사실이나, 그것이 공시 프로세스의 구조적 결함을 뜻하는지는 정정 사유 분류 전까지 판단 보류)</w:t>
      </w:r>
    </w:p>
    <w:p>
      <w:pPr>
        <w:jc w:val="both"/>
      </w:pPr>
      <w:r>
        <w:rPr>
          <w:b/>
          <w:color w:val="1B2A4A"/>
        </w:rPr>
        <w:t xml:space="preserve">판별 테스트. </w:t>
      </w:r>
    </w:p>
    <w:p>
      <w:pPr>
        <w:jc w:val="both"/>
      </w:pPr>
      <w:r>
        <w:t xml:space="preserve">1. 정정 3건의 사유를 분류 — 단순 오기·형식 수정이면 무혐의, 수치·회계 판단 변경이면 검수 체인 결함으로 승격</w:t>
      </w:r>
    </w:p>
    <w:p>
      <w:pPr>
        <w:jc w:val="both"/>
      </w:pPr>
      <w:r>
        <w:t xml:space="preserve">2. 정정 대상 공시의 최초 작성 부서와 검수 단계를 역추적해 반복 발생 지점을 특정</w:t>
      </w:r>
    </w:p>
    <w:p>
      <w:pPr>
        <w:jc w:val="both"/>
      </w:pPr>
      <w:r>
        <w:t xml:space="preserve">3. 해명 공시가 0건인 점과 교차 — 외부 압박 없이 내부에서 3건이 나왔다면 프로세스 원인일 가능성이 상대적으로 높음</w:t>
      </w:r>
    </w:p>
    <w:p>
      <w:pPr>
        <w:jc w:val="both"/>
      </w:pPr>
      <w:r>
        <w:rPr>
          <w:b/>
          <w:color w:val="1B2A4A"/>
        </w:rPr>
        <w:t xml:space="preserve">권고 조치. </w:t>
      </w:r>
      <w:r>
        <w:t xml:space="preserve">공시 책임 임원에게 정정 3건의 사유 분류표(단순 오기 / 수치 변경 / 판단 변경)를 2주 내 제출받고, 수치 변경이 1건이라도 포함되면 공시 전 검수 체인에 재무·법무 이중 확인 단계를 추가하십시오.</w:t>
      </w:r>
    </w:p>
    <w:p>
      <w:pPr>
        <w:pStyle w:val="Heading1"/>
      </w:pPr>
      <w:r>
        <w:rPr>
          <w:b/>
          <w:color w:val="1B2A4A"/>
        </w:rPr>
        <w:t xml:space="preserve">미발화 신호 (참고 — 리스크 아님)</w:t>
      </w:r>
    </w:p>
    <w:p>
      <w:pPr>
        <w:jc w:val="both"/>
      </w:pPr>
      <w:r>
        <w:t xml:space="preserve">수익-채권 괴리(E1), 재고 자산 적체(E2), 차입 확대·이자 부담(E3), 발생액 품질(E8), 시장·현금흐름 괴리(E6)는 모두 평가되었으나 </w:t>
      </w:r>
      <w:r>
        <w:rPr>
          <w:b/>
        </w:rPr>
        <w:t xml:space="preserve">임계값 미달로 미발화</w:t>
      </w:r>
      <w:r>
        <w:t xml:space="preserve">했습니다. 특히 이익의 현금화와 발생액 품질 축은 건전한 방향으로 판정되었습니다. 공시·주가 정합(E7)은 관찰 창 내 해명·풍문 공시가 없어 대사 대상 자체가 없었습니다. 다만 미발화는 "무혐의 확정"이 아니라 "이번 데이터 창에서 임계값을 넘지 않음"을 뜻하므로, 차기 분기 데이터로 재평가가 필요합니다.</w:t>
      </w:r>
    </w:p>
    <w:p>
      <w:pPr>
        <w:pStyle w:val="Heading1"/>
      </w:pPr>
      <w:r>
        <w:rPr>
          <w:b/>
          <w:color w:val="1B2A4A"/>
        </w:rPr>
        <w:t xml:space="preserve">확인 범위와 한계</w:t>
      </w:r>
    </w:p>
    <w:p>
      <w:pPr>
        <w:pStyle w:val="ListParagraph"/>
        <w:numPr>
          <w:ilvl w:val="0"/>
          <w:numId w:val="1"/>
        </w:numPr>
        <w:jc w:val="both"/>
      </w:pPr>
      <w:r>
        <w:t xml:space="preserve">본 브리핑은 DART 공시 재무제표(2025 사업연도, 연결 기준), 90일 공시 목록, 한국은행 ECOS 지표, 뉴스 메타데이터(제목·요약·발행일만)에서 결정론적으로 파생된 신호에 기반합니다. 내부 CSV(거래처·원가 상세)는 제공되지 않아 거래처 집중·원가 왜곡 축은 평가 범위 밖입니다.</w:t>
      </w:r>
    </w:p>
    <w:p>
      <w:pPr>
        <w:pStyle w:val="ListParagraph"/>
        <w:numPr>
          <w:ilvl w:val="0"/>
          <w:numId w:val="1"/>
        </w:numPr>
        <w:jc w:val="both"/>
      </w:pPr>
      <w:r>
        <w:t xml:space="preserve">발화한 두 신호는 모두 "점검이 필요한 패턴"이며, 부정이나 부실의 존재를 뜻하지 않습니다. 각 리스크의 판별 테스트를 수행하기 전까지는 원인에 대한 서술은 가설 수준으로 취급해 주십시오.</w:t>
      </w:r>
    </w:p>
    <w:p>
      <w:pPr>
        <w:pStyle w:val="ListParagraph"/>
        <w:numPr>
          <w:ilvl w:val="0"/>
          <w:numId w:val="1"/>
        </w:numPr>
        <w:jc w:val="both"/>
      </w:pPr>
      <w:r>
        <w:t xml:space="preserve">뉴스 신호는 보조 자료로만 사용했으며 확정 사실로 인용하지 않았습니다. 유동비율의 절대 수준 해석은 업종(대규모 장치산업) 특성에 따라 달라질 수 있어, 동종 업계 비교가 병행되어야 합니다.</w:t>
      </w:r>
    </w:p>
    <w:p>
      <w:pPr>
        <w:pStyle w:val="ListParagraph"/>
        <w:numPr>
          <w:ilvl w:val="0"/>
          <w:numId w:val="1"/>
        </w:numPr>
        <w:jc w:val="both"/>
      </w:pPr>
      <w:r>
        <w:t xml:space="preserve">진단 기준 시점 이후의 공시·계약 변동은 반영되어 있지 않습니다.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리스크 브리핑 — (주)엘지에너지솔루션</dc:title>
  <dc:creator>Trusted CEO Agent</dc:creator>
  <cp:lastModifiedBy>Trusted CEO Agent</cp:lastModifiedBy>
  <dcterms:created xsi:type="dcterms:W3CDTF">2026-07-10T00:00:00Z</dcterms:created>
  <dcterms:modified xsi:type="dcterms:W3CDTF">2026-07-10T00:00:00Z</dcterms:modified>
</cp:coreProperties>
</file>