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금호전기(주) CEO 리스크 브리핑</w:t>
      </w:r>
    </w:p>
    <w:p>
      <w:pPr>
        <w:spacing w:after="160"/>
      </w:pPr>
      <w:r>
        <w:rPr>
          <w:b/>
          <w:color w:val="D04A02"/>
          <w:sz w:val="20"/>
          <w:szCs w:val="20"/>
        </w:rPr>
        <w:t xml:space="preserve">대외비 · Confidential</w:t>
      </w:r>
    </w:p>
    <w:p>
      <w:pPr>
        <w:spacing w:after="600"/>
      </w:pPr>
      <w:r>
        <w:rPr>
          <w:color w:val="595959"/>
          <w:sz w:val="20"/>
          <w:szCs w:val="20"/>
        </w:rPr>
        <w:t xml:space="preserve">작성일 2026-07-14</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Heading1"/>
      </w:pPr>
      <w:r>
        <w:rPr>
          <w:b/>
          <w:color w:val="1B2A4A"/>
        </w:rPr>
        <w:t xml:space="preserve">핵심 리스크 한눈에 보기</w:t>
      </w:r>
    </w:p>
    <w:tbl>
      <w:tblPr>
        <w:tblStyle w:val="TableGrid"/>
        <w:tblW w:w="907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r>
        <w:tc>
          <w:tcPr>
            <w:tcW w:w="700" w:type="dxa"/>
            <w:shd w:val="clear" w:color="auto" w:fill="F2E8E0"/>
            <w:vAlign w:val="center"/>
          </w:tcPr>
          <w:p>
            <w:pPr>
              <w:spacing w:before="60" w:after="60"/>
            </w:pPr>
            <w:r>
              <w:rPr>
                <w:b/>
                <w:color w:val="1B2A4A"/>
                <w:sz w:val="19"/>
                <w:szCs w:val="19"/>
              </w:rPr>
              <w:t xml:space="preserve">구분</w:t>
            </w:r>
          </w:p>
        </w:tc>
        <w:tc>
          <w:tcPr>
            <w:tcW w:w="3300" w:type="dxa"/>
            <w:shd w:val="clear" w:color="auto" w:fill="F2E8E0"/>
            <w:vAlign w:val="center"/>
          </w:tcPr>
          <w:p>
            <w:pPr>
              <w:spacing w:before="60" w:after="60"/>
            </w:pPr>
            <w:r>
              <w:rPr>
                <w:b/>
                <w:color w:val="1B2A4A"/>
                <w:sz w:val="19"/>
                <w:szCs w:val="19"/>
              </w:rPr>
              <w:t xml:space="preserve">리스크</w:t>
            </w:r>
          </w:p>
        </w:tc>
        <w:tc>
          <w:tcPr>
            <w:tcW w:w="1100" w:type="dxa"/>
            <w:shd w:val="clear" w:color="auto" w:fill="F2E8E0"/>
            <w:vAlign w:val="center"/>
          </w:tcPr>
          <w:p>
            <w:pPr>
              <w:spacing w:before="60" w:after="60"/>
            </w:pPr>
            <w:r>
              <w:rPr>
                <w:b/>
                <w:color w:val="1B2A4A"/>
                <w:sz w:val="19"/>
                <w:szCs w:val="19"/>
              </w:rPr>
              <w:t xml:space="preserve">확신도</w:t>
            </w:r>
          </w:p>
        </w:tc>
        <w:tc>
          <w:tcPr>
            <w:tcW w:w="3970" w:type="dxa"/>
            <w:shd w:val="clear" w:color="auto" w:fill="F2E8E0"/>
            <w:vAlign w:val="center"/>
          </w:tcPr>
          <w:p>
            <w:pPr>
              <w:spacing w:before="60" w:after="60"/>
            </w:pPr>
            <w:r>
              <w:rPr>
                <w:b/>
                <w:color w:val="1B2A4A"/>
                <w:sz w:val="19"/>
                <w:szCs w:val="19"/>
              </w:rPr>
              <w:t xml:space="preserve">최우선 조치</w:t>
            </w:r>
          </w:p>
        </w:tc>
      </w:tr>
      <w:tr>
        <w:tc>
          <w:tcPr>
            <w:tcW w:w="700" w:type="dxa"/>
            <w:vAlign w:val="center"/>
          </w:tcPr>
          <w:p>
            <w:pPr>
              <w:spacing w:before="60" w:after="60"/>
            </w:pPr>
            <w:r>
              <w:rPr>
                <w:b/>
                <w:color w:val="D04A02"/>
                <w:sz w:val="19"/>
                <w:szCs w:val="19"/>
              </w:rPr>
              <w:t xml:space="preserve">R1</w:t>
            </w:r>
          </w:p>
        </w:tc>
        <w:tc>
          <w:tcPr>
            <w:tcW w:w="3300" w:type="dxa"/>
            <w:vAlign w:val="center"/>
          </w:tcPr>
          <w:p>
            <w:pPr>
              <w:spacing w:before="60" w:after="60"/>
            </w:pPr>
            <w:r>
              <w:rPr>
                <w:b/>
                <w:sz w:val="19"/>
                <w:szCs w:val="19"/>
              </w:rPr>
              <w:t xml:space="preserve">유동성 여력 부족 (E4: 유동비율 임계선 미달)</w:t>
            </w:r>
          </w:p>
        </w:tc>
        <w:tc>
          <w:tcPr>
            <w:tcW w:w="1100" w:type="dxa"/>
            <w:vAlign w:val="center"/>
          </w:tcPr>
          <w:p>
            <w:pPr>
              <w:spacing w:before="60" w:after="60"/>
            </w:pPr>
            <w:r>
              <w:rPr>
                <w:b/>
                <w:color w:val="1F7A33"/>
                <w:sz w:val="19"/>
                <w:szCs w:val="19"/>
              </w:rPr>
              <w:t xml:space="preserve">확인됨</w:t>
            </w:r>
          </w:p>
        </w:tc>
        <w:tc>
          <w:tcPr>
            <w:tcW w:w="3970" w:type="dxa"/>
            <w:vAlign w:val="center"/>
          </w:tcPr>
          <w:p>
            <w:pPr>
              <w:spacing w:before="60" w:after="60"/>
            </w:pPr>
            <w:r>
              <w:rPr>
                <w:sz w:val="19"/>
                <w:szCs w:val="19"/>
              </w:rPr>
              <w:t xml:space="preserve">CFO 에게 ① 12개월 상환 캘린더와 가용 유동성(현금 + 미사용 한도) 대조표, ② 주거래은행 한도 갱신 조건 확인을 지시하시고, 유동비율 100% 회복 시점을 분기 경영회의 추적 지표로 등재하십시오.</w:t>
            </w:r>
          </w:p>
        </w:tc>
      </w:tr>
      <w:tr>
        <w:tc>
          <w:tcPr>
            <w:tcW w:w="700" w:type="dxa"/>
            <w:vAlign w:val="center"/>
          </w:tcPr>
          <w:p>
            <w:pPr>
              <w:spacing w:before="60" w:after="60"/>
            </w:pPr>
            <w:r>
              <w:rPr>
                <w:b/>
                <w:color w:val="D04A02"/>
                <w:sz w:val="19"/>
                <w:szCs w:val="19"/>
              </w:rPr>
              <w:t xml:space="preserve">R2</w:t>
            </w:r>
          </w:p>
        </w:tc>
        <w:tc>
          <w:tcPr>
            <w:tcW w:w="3300" w:type="dxa"/>
            <w:vAlign w:val="center"/>
          </w:tcPr>
          <w:p>
            <w:pPr>
              <w:spacing w:before="60" w:after="60"/>
            </w:pPr>
            <w:r>
              <w:rPr>
                <w:b/>
                <w:sz w:val="19"/>
                <w:szCs w:val="19"/>
              </w:rPr>
              <w:t xml:space="preserve">공시 정정 빈발 (E5: 공시 프로세스 신뢰성)</w:t>
            </w:r>
          </w:p>
        </w:tc>
        <w:tc>
          <w:tcPr>
            <w:tcW w:w="1100" w:type="dxa"/>
            <w:vAlign w:val="center"/>
          </w:tcPr>
          <w:p>
            <w:pPr>
              <w:spacing w:before="60" w:after="60"/>
            </w:pPr>
            <w:r>
              <w:rPr>
                <w:b/>
                <w:color w:val="1F7A33"/>
                <w:sz w:val="19"/>
                <w:szCs w:val="19"/>
              </w:rPr>
              <w:t xml:space="preserve">확인됨</w:t>
            </w:r>
          </w:p>
        </w:tc>
        <w:tc>
          <w:tcPr>
            <w:tcW w:w="3970" w:type="dxa"/>
            <w:vAlign w:val="center"/>
          </w:tcPr>
          <w:p>
            <w:pPr>
              <w:spacing w:before="60" w:after="60"/>
            </w:pPr>
            <w:r>
              <w:rPr>
                <w:sz w:val="19"/>
                <w:szCs w:val="19"/>
              </w:rPr>
              <w:t xml:space="preserve">공시 책임자에게 6건 정정의 사유 분류표 제출을 요구하시고, 재무 수치가 걸린 정정이 1건이라도 있으면 공시 전 검수 체인(작성–감사팀 크로스체크–최종 결재)을 문서화된 절차로 재정비하도록 지시하십시오.</w:t>
            </w:r>
          </w:p>
        </w:tc>
      </w:tr>
    </w:tbl>
    <w:p>
      <w:pPr>
        <w:spacing w:before="80" w:after="240"/>
      </w:pPr>
      <w:r>
        <w:rPr>
          <w:color w:val="A6A6A6"/>
          <w:sz w:val="17"/>
          <w:szCs w:val="17"/>
        </w:rPr>
        <w:t xml:space="preserve">표의 확신도는 본문 각 리스크 절의 확신도 표기를 그대로 요약한 것입니다. 상세 근거 수치와 판별 테스트는 본문을 참조하십시오.</w:t>
      </w:r>
    </w:p>
    <w:p>
      <w:pPr>
        <w:pStyle w:val="ListParagraph"/>
        <w:numPr>
          <w:ilvl w:val="0"/>
          <w:numId w:val="1"/>
        </w:numPr>
        <w:jc w:val="both"/>
      </w:pPr>
      <w:r>
        <w:rPr>
          <w:b/>
        </w:rPr>
        <w:t xml:space="preserve">대상 기업</w:t>
      </w:r>
      <w:r>
        <w:t xml:space="preserve">: 금호전기(주) (종목코드 001210, 사업자등록번호 105-81-00527)</w:t>
      </w:r>
    </w:p>
    <w:p>
      <w:pPr>
        <w:pStyle w:val="ListParagraph"/>
        <w:numPr>
          <w:ilvl w:val="0"/>
          <w:numId w:val="1"/>
        </w:numPr>
        <w:jc w:val="both"/>
      </w:pPr>
      <w:r>
        <w:rPr>
          <w:b/>
        </w:rPr>
        <w:t xml:space="preserve">대표이사</w:t>
      </w:r>
      <w:r>
        <w:t xml:space="preserve">: 이홍민</w:t>
      </w:r>
    </w:p>
    <w:p>
      <w:pPr>
        <w:pStyle w:val="ListParagraph"/>
        <w:numPr>
          <w:ilvl w:val="0"/>
          <w:numId w:val="1"/>
        </w:numPr>
        <w:jc w:val="both"/>
      </w:pPr>
      <w:r>
        <w:rPr>
          <w:b/>
        </w:rPr>
        <w:t xml:space="preserve">기준 데이터</w:t>
      </w:r>
      <w:r>
        <w:t xml:space="preserve">: 2025 사업연도 연결재무제표(CFS) 공시 + 최근 90일 공시 이력 (출처: DART)</w:t>
      </w:r>
    </w:p>
    <w:p>
      <w:pPr>
        <w:pStyle w:val="ListParagraph"/>
        <w:numPr>
          <w:ilvl w:val="0"/>
          <w:numId w:val="1"/>
        </w:numPr>
        <w:jc w:val="both"/>
      </w:pPr>
      <w:r>
        <w:rPr>
          <w:b/>
        </w:rPr>
        <w:t xml:space="preserve">거시 맥락</w:t>
      </w:r>
      <w:r>
        <w:t xml:space="preserve">: 한국은행 기준금리 2.5% (2026-07-12 기준, 관측 구간 내 변동 없음 — 출처: ECOS)</w:t>
      </w:r>
    </w:p>
    <w:p>
      <w:pPr>
        <w:pStyle w:val="ListParagraph"/>
        <w:numPr>
          <w:ilvl w:val="0"/>
          <w:numId w:val="1"/>
        </w:numPr>
        <w:jc w:val="both"/>
      </w:pPr>
      <w:r>
        <w:rPr>
          <w:b/>
        </w:rPr>
        <w:t xml:space="preserve">발화 신호</w:t>
      </w:r>
      <w:r>
        <w:t xml:space="preserve">: 2건 (E4 유동성, E5 공시 행간)</w:t>
      </w:r>
    </w:p>
    <w:p>
      <w:pPr>
        <w:pStyle w:val="Heading1"/>
      </w:pPr>
      <w:r>
        <w:rPr>
          <w:b/>
          <w:color w:val="1B2A4A"/>
        </w:rPr>
        <w:t xml:space="preserve">리스크 1 — 유동성 여력 부족 (E4: 유동비율 임계선 미달)</w:t>
      </w:r>
    </w:p>
    <w:p>
      <w:pPr>
        <w:jc w:val="both"/>
      </w:pPr>
      <w:r>
        <w:rPr>
          <w:b/>
          <w:color w:val="1B2A4A"/>
        </w:rPr>
        <w:t xml:space="preserve">결론. </w:t>
      </w:r>
      <w:r>
        <w:t xml:space="preserve">유동비율이 회복 추세임에도 여전히 100% 아래에 머물러, 향후 1년 내 만기가 도래하는 부채를 유동자산만으로 전부 감당하지 못하는 상태입니다.</w:t>
      </w:r>
    </w:p>
    <w:p>
      <w:pPr>
        <w:jc w:val="both"/>
      </w:pPr>
      <w:r>
        <w:rPr>
          <w:b/>
        </w:rPr>
        <w:t xml:space="preserve">근거 (수치·출처)</w:t>
      </w:r>
      <w:r>
        <w:t xml:space="preserve">: 유동비율 추이 69.6% → 94.9% → </w:t>
      </w:r>
      <w:r>
        <w:rPr>
          <w:b/>
        </w:rPr>
        <w:t xml:space="preserve">97.4%</w:t>
      </w:r>
      <w:r>
        <w:t xml:space="preserve"> (최근 3개년, DART 연결재무제표 파생 계산). 판정 기준은 하한 100% 미달이며, 2년 연속 하락 조건은 해당하지 않습니다 — 즉 방향은 개선, 수준은 미달입니다.</w:t>
      </w:r>
    </w:p>
    <w:p>
      <w:pPr>
        <w:jc w:val="both"/>
      </w:pPr>
      <w:r>
        <w:rPr>
          <w:b/>
        </w:rPr>
        <w:t xml:space="preserve">왜 문제인가 (인과 사슬)</w:t>
      </w:r>
      <w:r>
        <w:t xml:space="preserve">: 유동비율이 100%를 밑돈다는 것은 단기 상환 의무의 일부를 영업현금 창출이나 차환(리파이낸싱)에 의존해야 한다는 뜻입니다. 이 구조에서는 매출 둔화나 거래처 결제 지연 같은 외생 충격이 곧바로 상환 재원 공백으로 이어지고, 그 공백을 메우려 급하게 조달에 나서면 조달 조건이 악화되는 악순환의 입구가 됩니다. 기준금리가 2.5%로 유지되는 국면이라 금리 충격은 크지 않지만, 금리가 낮다는 것이 차환 가능성 자체를 보장하지는 않습니다.</w:t>
      </w:r>
    </w:p>
    <w:p>
      <w:pPr>
        <w:jc w:val="both"/>
      </w:pPr>
      <w:r>
        <w:rPr>
          <w:b/>
          <w:color w:val="1B2A4A"/>
        </w:rPr>
        <w:t xml:space="preserve">확신도. </w:t>
      </w:r>
      <w:r>
        <w:rPr>
          <w:b/>
          <w:color w:val="1F7A33"/>
        </w:rPr>
        <w:t xml:space="preserve">확인됨</w:t>
      </w:r>
      <w:r>
        <w:t xml:space="preserve"> (공시 재무제표에서 결정론적으로 파생된 수치). 다만 "실제 상환 위험으로 전이되는가"는 아래 판별 테스트에 달린 가설입니다.</w:t>
      </w:r>
    </w:p>
    <w:p>
      <w:pPr>
        <w:spacing w:before="240" w:after="80"/>
      </w:pPr>
      <w:r>
        <w:rPr>
          <w:b/>
          <w:color w:val="1B2A4A"/>
          <w:sz w:val="22"/>
          <w:szCs w:val="22"/>
        </w:rPr>
        <w:t xml:space="preserve">**판별 테스트 (반증 설계)**</w:t>
      </w:r>
    </w:p>
    <w:p>
      <w:pPr>
        <w:jc w:val="both"/>
      </w:pPr>
      <w:r>
        <w:t xml:space="preserve">1. 단기차입금 상환 스케줄(주석)을 월 단위로 펼쳐, 향후 12개월 상환액이 보유 현금성자산 + 예상 영업현금흐름 안에 들어오는지 대조 — 들어오면 이 리스크는 "수치상 미달, 실질 무해"로 강등.</w:t>
      </w:r>
    </w:p>
    <w:p>
      <w:pPr>
        <w:jc w:val="both"/>
      </w:pPr>
      <w:r>
        <w:t xml:space="preserve">2. 미사용 여신한도(주석)를 확인 — 한도 여유가 단기부채 부족분을 상회하면 반증 성립.</w:t>
      </w:r>
    </w:p>
    <w:p>
      <w:pPr>
        <w:jc w:val="both"/>
      </w:pPr>
      <w:r>
        <w:t xml:space="preserve">3. 차기 반기 유동비율이 100%를 회복하는지 추적 — 회복 추세가 이어지면 일시 신호로 종결.</w:t>
      </w:r>
    </w:p>
    <w:p>
      <w:pPr>
        <w:jc w:val="both"/>
      </w:pPr>
      <w:r>
        <w:rPr>
          <w:b/>
          <w:color w:val="1B2A4A"/>
        </w:rPr>
        <w:t xml:space="preserve">권고 조치. </w:t>
      </w:r>
      <w:r>
        <w:t xml:space="preserve">CFO 에게 ① 12개월 상환 캘린더와 가용 유동성(현금 + 미사용 한도) 대조표, ② 주거래은행 한도 갱신 조건 확인을 지시하시고, 유동비율 100% 회복 시점을 분기 경영회의 추적 지표로 등재하십시오.</w:t>
      </w:r>
    </w:p>
    <w:p>
      <w:pPr>
        <w:pStyle w:val="Heading1"/>
      </w:pPr>
      <w:r>
        <w:rPr>
          <w:b/>
          <w:color w:val="1B2A4A"/>
        </w:rPr>
        <w:t xml:space="preserve">리스크 2 — 공시 정정 빈발 (E5: 공시 프로세스 신뢰성)</w:t>
      </w:r>
    </w:p>
    <w:p>
      <w:pPr>
        <w:jc w:val="both"/>
      </w:pPr>
      <w:r>
        <w:rPr>
          <w:b/>
          <w:color w:val="1B2A4A"/>
        </w:rPr>
        <w:t xml:space="preserve">결론. </w:t>
      </w:r>
      <w:r>
        <w:t xml:space="preserve">최근 90일 공시 19건 중 정정 공시가 6건으로 임계 기준(3건)을 크게 웃돌아, 공시 산출 과정의 검수 체계에 점검이 필요한 패턴입니다.</w:t>
      </w:r>
    </w:p>
    <w:p>
      <w:pPr>
        <w:jc w:val="both"/>
      </w:pPr>
      <w:r>
        <w:rPr>
          <w:b/>
        </w:rPr>
        <w:t xml:space="preserve">근거 (수치·출처)</w:t>
      </w:r>
      <w:r>
        <w:t xml:space="preserve">: 관측 창 90일, 총 공시 19건, 정정 6건 (출처: DART 공시목록). 해명·조회공시 및 감사 관련 특이 플래그는 관측되지 않았습니다.</w:t>
      </w:r>
    </w:p>
    <w:p>
      <w:pPr>
        <w:jc w:val="both"/>
      </w:pPr>
      <w:r>
        <w:rPr>
          <w:b/>
        </w:rPr>
        <w:t xml:space="preserve">왜 문제인가 (인과 사슬)</w:t>
      </w:r>
      <w:r>
        <w:t xml:space="preserve">: 정정이 반복된다는 것은 최초 공시 시점에 수치·내용을 확정하는 내부 검수 체인 어딘가에서 오류가 걸러지지 않고 있다는 신호입니다. 공시는 시장과의 공식 커뮤니케이션이므로, 정정 빈발은 투자자·감독당국이 회사 발표 전반의 신뢰도를 할인하게 만들고, 이는 향후 자금 조달이나 주요 계약 공시 때 불필요한 의심 비용으로 되돌아옵니다. 특히 리스크 1(유동성)로 조달 의존도가 있는 국면에서는 시장 신뢰가 곧 조달 조건입니다.</w:t>
      </w:r>
    </w:p>
    <w:p>
      <w:pPr>
        <w:jc w:val="both"/>
      </w:pPr>
      <w:r>
        <w:rPr>
          <w:b/>
          <w:color w:val="1B2A4A"/>
        </w:rPr>
        <w:t xml:space="preserve">확신도. </w:t>
      </w:r>
      <w:r>
        <w:t xml:space="preserve">패턴 자체는 확인됨. 다만 원인이 "단순 오기 반복"인지 "수치 확정 프로세스 결함"인지는 가설 단계입니다.</w:t>
      </w:r>
    </w:p>
    <w:p>
      <w:pPr>
        <w:spacing w:before="240" w:after="80"/>
      </w:pPr>
      <w:r>
        <w:rPr>
          <w:b/>
          <w:color w:val="1B2A4A"/>
          <w:sz w:val="22"/>
          <w:szCs w:val="22"/>
        </w:rPr>
        <w:t xml:space="preserve">**판별 테스트 (반증 설계)**</w:t>
      </w:r>
    </w:p>
    <w:p>
      <w:pPr>
        <w:jc w:val="both"/>
      </w:pPr>
      <w:r>
        <w:t xml:space="preserve">1. 정정 6건의 사유를 분류 — 단순 오·탈자/서식 정정이 다수면 프로세스 리스크는 경미로 강등, 재무 수치·계약 조건의 사후 변경이 포함되면 리스크 승격.</w:t>
      </w:r>
    </w:p>
    <w:p>
      <w:pPr>
        <w:jc w:val="both"/>
      </w:pPr>
      <w:r>
        <w:t xml:space="preserve">2. 정정 발생 부서·결재 라인을 추적해 특정 단계(작성/검토/승인)에 오류가 집중되는지 확인 — 집중되지 않고 산발적이면 구조 결함 가설은 기각.</w:t>
      </w:r>
    </w:p>
    <w:p>
      <w:pPr>
        <w:jc w:val="both"/>
      </w:pPr>
      <w:r>
        <w:t xml:space="preserve">3. 차기 90일 창에서 정정 건수가 기준(3건) 아래로 내려오는지 추적.</w:t>
      </w:r>
    </w:p>
    <w:p>
      <w:pPr>
        <w:jc w:val="both"/>
      </w:pPr>
      <w:r>
        <w:rPr>
          <w:b/>
          <w:color w:val="1B2A4A"/>
        </w:rPr>
        <w:t xml:space="preserve">권고 조치. </w:t>
      </w:r>
      <w:r>
        <w:t xml:space="preserve">공시 책임자에게 6건 정정의 사유 분류표 제출을 요구하시고, 재무 수치가 걸린 정정이 1건이라도 있으면 공시 전 검수 체인(작성–감사팀 크로스체크–최종 결재)을 문서화된 절차로 재정비하도록 지시하십시오.</w:t>
      </w:r>
    </w:p>
    <w:p>
      <w:pPr>
        <w:pStyle w:val="Heading1"/>
      </w:pPr>
      <w:r>
        <w:rPr>
          <w:b/>
          <w:color w:val="1B2A4A"/>
        </w:rPr>
        <w:t xml:space="preserve">확인 범위와 한계</w:t>
      </w:r>
    </w:p>
    <w:p>
      <w:pPr>
        <w:pStyle w:val="ListParagraph"/>
        <w:numPr>
          <w:ilvl w:val="0"/>
          <w:numId w:val="1"/>
        </w:numPr>
        <w:jc w:val="both"/>
      </w:pPr>
      <w:r>
        <w:t xml:space="preserve">본 브리핑은 DART 공시 재무제표(2025, 연결)와 최근 90일 공시 이력, ECOS 거시지표에서 결정론적으로 파생된 신호만을 다루었습니다. 내부 회계 데이터(거래처·원가·계정 상세)는 제공되지 않아 해당 축은 진단 범위 밖입니다.</w:t>
      </w:r>
    </w:p>
    <w:p>
      <w:pPr>
        <w:pStyle w:val="ListParagraph"/>
        <w:numPr>
          <w:ilvl w:val="0"/>
          <w:numId w:val="1"/>
        </w:numPr>
        <w:jc w:val="both"/>
      </w:pPr>
      <w:r>
        <w:t xml:space="preserve">수익-채권 괴리(E1), 재고 적체(E2), 차입 확대·이자 부담(E3), 발생액 품질(E8)은 각 임계값 미달로 미발화했으며 리스크로 다루지 않았습니다. 다만 미발화가 "해당 영역이 건전하다"는 적극적 확인은 아니며, 특히 수익성 관련 축은 차기 결산에서 재평가가 필요합니다.</w:t>
      </w:r>
    </w:p>
    <w:p>
      <w:pPr>
        <w:pStyle w:val="ListParagraph"/>
        <w:numPr>
          <w:ilvl w:val="0"/>
          <w:numId w:val="1"/>
        </w:numPr>
        <w:jc w:val="both"/>
      </w:pPr>
      <w:r>
        <w:t xml:space="preserve">발화한 2개 신호 모두 "점검이 필요한 패턴"의 제시이지 부정·위법의 판단이 아닙니다. 각 리스크의 판별 테스트가 반증되면 해당 리스크는 종결 처리하는 것이 타당합니다.</w:t>
      </w:r>
    </w:p>
    <w:p>
      <w:pPr>
        <w:pStyle w:val="ListParagraph"/>
        <w:numPr>
          <w:ilvl w:val="0"/>
          <w:numId w:val="1"/>
        </w:numPr>
        <w:jc w:val="both"/>
      </w:pPr>
      <w:r>
        <w:t xml:space="preserve">뉴스·시장(주가) 축은 이번 진단에 포함되지 않았습니다.</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금호전기(주) CEO 리스크 브리핑</dc:title>
  <dc:creator>Trusted CEO Agent</dc:creator>
  <cp:lastModifiedBy>Trusted CEO Agent</cp:lastModifiedBy>
  <dcterms:created xsi:type="dcterms:W3CDTF">2026-07-14T00:00:00Z</dcterms:created>
  <dcterms:modified xsi:type="dcterms:W3CDTF">2026-07-14T00:00:00Z</dcterms:modified>
</cp:coreProperties>
</file>