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CEO 서명용 경영리스크 브리핑 — (주)넥슨게임즈</w:t>
      </w:r>
    </w:p>
    <w:p>
      <w:pPr>
        <w:spacing w:after="160"/>
      </w:pPr>
      <w:r>
        <w:rPr>
          <w:b/>
          <w:color w:val="D04A02"/>
          <w:sz w:val="20"/>
          <w:szCs w:val="20"/>
        </w:rPr>
        <w:t xml:space="preserve">대외비 · Confidential</w:t>
      </w:r>
    </w:p>
    <w:p>
      <w:pPr>
        <w:spacing w:after="600"/>
      </w:pPr>
      <w:r>
        <w:rPr>
          <w:color w:val="595959"/>
          <w:sz w:val="20"/>
          <w:szCs w:val="20"/>
        </w:rPr>
        <w:t xml:space="preserve">작성일 2026-07-14</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Executive Snapshot</w:t>
      </w:r>
    </w:p>
    <w:p>
      <w:pPr>
        <w:jc w:val="center"/>
        <w:spacing w:before="120" w:after="240"/>
      </w:pPr>
      <w:r>
        <w:drawing>
          <wp:inline xmlns:wp="http://schemas.openxmlformats.org/drawingml/2006/wordprocessingDrawing" distT="0" distB="0" distL="0" distR="0">
            <wp:extent cx="5943600" cy="3714750"/>
            <wp:effectExtent l="0" t="0" r="0" b="0"/>
            <wp:docPr id="1" name="Executiv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summary.png"/>
                    <pic:cNvPicPr/>
                  </pic:nvPicPr>
                  <pic:blipFill>
                    <a:blip xmlns:r="http://schemas.openxmlformats.org/officeDocument/2006/relationships" r:embed="rIdSnapshot"/>
                    <a:stretch>
                      <a:fillRect/>
                    </a:stretch>
                  </pic:blipFill>
                  <pic:spPr>
                    <a:xfrm>
                      <a:off x="0" y="0"/>
                      <a:ext cx="5943600" cy="3714750"/>
                    </a:xfrm>
                    <a:prstGeom prst="rect">
                      <a:avLst/>
                    </a:prstGeom>
                  </pic:spPr>
                </pic:pic>
              </a:graphicData>
            </a:graphic>
          </wp:inline>
        </w:drawing>
      </w:r>
    </w:p>
    <w:p>
      <w:r>
        <w:br w:type="page"/>
      </w:r>
    </w:p>
    <w:p>
      <w:pPr>
        <w:pStyle w:val="Heading1"/>
      </w:pPr>
      <w:r>
        <w:rPr>
          <w:b/>
          <w:color w:val="1B2A4A"/>
        </w:rPr>
        <w:t xml:space="preserve">핵심 리스크 한눈에 보기</w:t>
      </w:r>
    </w:p>
    <w:tbl>
      <w:tblPr>
        <w:tblStyle w:val="TableGrid"/>
        <w:tblW w:w="907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r>
        <w:tc>
          <w:tcPr>
            <w:tcW w:w="700" w:type="dxa"/>
            <w:shd w:val="clear" w:color="auto" w:fill="F2E8E0"/>
            <w:vAlign w:val="center"/>
          </w:tcPr>
          <w:p>
            <w:pPr>
              <w:spacing w:before="60" w:after="60"/>
            </w:pPr>
            <w:r>
              <w:rPr>
                <w:b/>
                <w:color w:val="1B2A4A"/>
                <w:sz w:val="19"/>
                <w:szCs w:val="19"/>
              </w:rPr>
              <w:t xml:space="preserve">구분</w:t>
            </w:r>
          </w:p>
        </w:tc>
        <w:tc>
          <w:tcPr>
            <w:tcW w:w="3300" w:type="dxa"/>
            <w:shd w:val="clear" w:color="auto" w:fill="F2E8E0"/>
            <w:vAlign w:val="center"/>
          </w:tcPr>
          <w:p>
            <w:pPr>
              <w:spacing w:before="60" w:after="60"/>
            </w:pPr>
            <w:r>
              <w:rPr>
                <w:b/>
                <w:color w:val="1B2A4A"/>
                <w:sz w:val="19"/>
                <w:szCs w:val="19"/>
              </w:rPr>
              <w:t xml:space="preserve">리스크</w:t>
            </w:r>
          </w:p>
        </w:tc>
        <w:tc>
          <w:tcPr>
            <w:tcW w:w="1100" w:type="dxa"/>
            <w:shd w:val="clear" w:color="auto" w:fill="F2E8E0"/>
            <w:vAlign w:val="center"/>
          </w:tcPr>
          <w:p>
            <w:pPr>
              <w:spacing w:before="60" w:after="60"/>
            </w:pPr>
            <w:r>
              <w:rPr>
                <w:b/>
                <w:color w:val="1B2A4A"/>
                <w:sz w:val="19"/>
                <w:szCs w:val="19"/>
              </w:rPr>
              <w:t xml:space="preserve">확신도</w:t>
            </w:r>
          </w:p>
        </w:tc>
        <w:tc>
          <w:tcPr>
            <w:tcW w:w="3970" w:type="dxa"/>
            <w:shd w:val="clear" w:color="auto" w:fill="F2E8E0"/>
            <w:vAlign w:val="center"/>
          </w:tcPr>
          <w:p>
            <w:pPr>
              <w:spacing w:before="60" w:after="60"/>
            </w:pPr>
            <w:r>
              <w:rPr>
                <w:b/>
                <w:color w:val="1B2A4A"/>
                <w:sz w:val="19"/>
                <w:szCs w:val="19"/>
              </w:rPr>
              <w:t xml:space="preserve">최우선 조치</w:t>
            </w:r>
          </w:p>
        </w:tc>
      </w:tr>
      <w:tr>
        <w:tc>
          <w:tcPr>
            <w:tcW w:w="700" w:type="dxa"/>
            <w:vAlign w:val="center"/>
          </w:tcPr>
          <w:p>
            <w:pPr>
              <w:spacing w:before="60" w:after="60"/>
            </w:pPr>
            <w:r>
              <w:rPr>
                <w:b/>
                <w:color w:val="D04A02"/>
                <w:sz w:val="19"/>
                <w:szCs w:val="19"/>
              </w:rPr>
              <w:t xml:space="preserve">R1</w:t>
            </w:r>
          </w:p>
        </w:tc>
        <w:tc>
          <w:tcPr>
            <w:tcW w:w="3300" w:type="dxa"/>
            <w:vAlign w:val="center"/>
          </w:tcPr>
          <w:p>
            <w:pPr>
              <w:spacing w:before="60" w:after="60"/>
            </w:pPr>
            <w:r>
              <w:rPr>
                <w:b/>
                <w:sz w:val="19"/>
                <w:szCs w:val="19"/>
              </w:rPr>
              <w:t xml:space="preserve">수익-채권 괴리: 매출 위축을 따라가지 못하는 채권 회수 (E1)</w:t>
            </w:r>
          </w:p>
        </w:tc>
        <w:tc>
          <w:tcPr>
            <w:tcW w:w="1100" w:type="dxa"/>
            <w:vAlign w:val="center"/>
          </w:tcPr>
          <w:p>
            <w:pPr>
              <w:spacing w:before="60" w:after="60"/>
            </w:pPr>
            <w:r>
              <w:rPr>
                <w:b/>
                <w:color w:val="B45309"/>
                <w:sz w:val="19"/>
                <w:szCs w:val="19"/>
              </w:rPr>
              <w:t xml:space="preserve">가설</w:t>
            </w:r>
          </w:p>
        </w:tc>
        <w:tc>
          <w:tcPr>
            <w:tcW w:w="3970" w:type="dxa"/>
            <w:vAlign w:val="center"/>
          </w:tcPr>
          <w:p>
            <w:pPr>
              <w:spacing w:before="60" w:after="60"/>
            </w:pPr>
            <w:r>
              <w:rPr>
                <w:sz w:val="19"/>
                <w:szCs w:val="19"/>
              </w:rPr>
              <w:t xml:space="preserve">CFO에게 주요 거래처(퍼블리셔·플랫폼)별 채권 회수 기일 리포트를 요청하고, 회수 기일이 늘어난 거래처를 특정하십시오.</w:t>
            </w:r>
          </w:p>
        </w:tc>
      </w:tr>
    </w:tbl>
    <w:p>
      <w:pPr>
        <w:spacing w:before="80" w:after="240"/>
      </w:pPr>
      <w:r>
        <w:rPr>
          <w:color w:val="A6A6A6"/>
          <w:sz w:val="17"/>
          <w:szCs w:val="17"/>
        </w:rPr>
        <w:t xml:space="preserve">표의 확신도는 본문 각 리스크 절의 확신도 표기를 그대로 요약한 것입니다. 상세 근거 수치와 판별 테스트는 본문을 참조하십시오.</w:t>
      </w:r>
    </w:p>
    <w:p>
      <w:pPr>
        <w:pStyle w:val="ListParagraph"/>
        <w:numPr>
          <w:ilvl w:val="0"/>
          <w:numId w:val="1"/>
        </w:numPr>
        <w:jc w:val="both"/>
      </w:pPr>
      <w:r>
        <w:rPr>
          <w:b/>
        </w:rPr>
        <w:t xml:space="preserve">수신</w:t>
      </w:r>
      <w:r>
        <w:t xml:space="preserve">: 대표이사 박용현</w:t>
      </w:r>
    </w:p>
    <w:p>
      <w:pPr>
        <w:pStyle w:val="ListParagraph"/>
        <w:numPr>
          <w:ilvl w:val="0"/>
          <w:numId w:val="1"/>
        </w:numPr>
        <w:jc w:val="both"/>
      </w:pPr>
      <w:r>
        <w:rPr>
          <w:b/>
        </w:rPr>
        <w:t xml:space="preserve">대상 기업</w:t>
      </w:r>
      <w:r>
        <w:t xml:space="preserve">: (주)넥슨게임즈 (종목코드 225570, 사업자등록번호 186-86-00123)</w:t>
      </w:r>
    </w:p>
    <w:p>
      <w:pPr>
        <w:pStyle w:val="ListParagraph"/>
        <w:numPr>
          <w:ilvl w:val="0"/>
          <w:numId w:val="1"/>
        </w:numPr>
        <w:jc w:val="both"/>
      </w:pPr>
      <w:r>
        <w:rPr>
          <w:b/>
        </w:rPr>
        <w:t xml:space="preserve">진단 기준</w:t>
      </w:r>
      <w:r>
        <w:t xml:space="preserve">: 2025 사업연도 연결재무제표(CFS), DART 공시 + 한국은행 ECOS 거시지표</w:t>
      </w:r>
    </w:p>
    <w:p>
      <w:pPr>
        <w:pStyle w:val="ListParagraph"/>
        <w:numPr>
          <w:ilvl w:val="0"/>
          <w:numId w:val="1"/>
        </w:numPr>
        <w:jc w:val="both"/>
      </w:pPr>
      <w:r>
        <w:rPr>
          <w:b/>
        </w:rPr>
        <w:t xml:space="preserve">거시 환경</w:t>
      </w:r>
      <w:r>
        <w:t xml:space="preserve">: 한국은행 기준금리 2.5% (2026-07-12 기준, 관측 구간 내 변동 없음)</w:t>
      </w:r>
    </w:p>
    <w:p>
      <w:pPr>
        <w:pStyle w:val="Heading1"/>
      </w:pPr>
      <w:r>
        <w:rPr>
          <w:b/>
          <w:color w:val="1B2A4A"/>
        </w:rPr>
        <w:t xml:space="preserve">요약</w:t>
      </w:r>
    </w:p>
    <w:p>
      <w:pPr>
        <w:pBdr>
          <w:left w:val="single" w:sz="24" w:space="8" w:color="D04A02"/>
        </w:pBdr>
        <w:shd w:val="clear" w:color="auto" w:fill="FBF4EE"/>
        <w:spacing w:before="60" w:after="120" w:line="276" w:lineRule="auto"/>
        <w:ind w:left="284" w:right="284"/>
        <w:jc w:val="both"/>
      </w:pPr>
      <w:r>
        <w:t xml:space="preserve">공시 데이터에서 결정론적으로 파생한 외부 신호 6종 중 </w:t>
      </w:r>
      <w:r>
        <w:rPr>
          <w:b/>
        </w:rPr>
        <w:t xml:space="preserve">1건(E1: 수익-채권 괴리)이 발화</w:t>
      </w:r>
      <w:r>
        <w:t xml:space="preserve">했습니다. 매출이 큰 폭으로 줄었음에도 매출채권이 그에 상응해 줄지 않아, 이익의 현금화 체력이 임계값 아래로 내려온 상태입니다. 유동성·공시 행간·발생액 품질 등 나머지 신호는 임계값 미달로 미발화했으며, 재고·차입 축은 공시 계정 부재로 평가 자체가 불가했습니다.</w:t>
      </w:r>
    </w:p>
    <w:p>
      <w:pPr>
        <w:pStyle w:val="Heading1"/>
      </w:pPr>
      <w:r>
        <w:rPr>
          <w:b/>
          <w:color w:val="1B2A4A"/>
        </w:rPr>
        <w:t xml:space="preserve">리스크 1 — 수익-채권 괴리: 매출 위축을 따라가지 못하는 채권 회수 (E1)</w:t>
      </w:r>
    </w:p>
    <w:p>
      <w:pPr>
        <w:jc w:val="both"/>
      </w:pPr>
      <w:r>
        <w:rPr>
          <w:b/>
          <w:color w:val="1B2A4A"/>
        </w:rPr>
        <w:t xml:space="preserve">결론. </w:t>
      </w:r>
    </w:p>
    <w:p>
      <w:pPr>
        <w:jc w:val="both"/>
      </w:pPr>
      <w:r>
        <w:t xml:space="preserve">매출 감소 속도에 비해 매출채권 감소가 현저히 더디고, 영업이익의 현금 전환율도 임계 하한을 하회합니다. 이익의 질이 약화되고 있을 가능성을 점검할 시점입니다.</w:t>
      </w:r>
    </w:p>
    <w:p>
      <w:pPr>
        <w:jc w:val="both"/>
      </w:pPr>
      <w:r>
        <w:rPr>
          <w:b/>
        </w:rPr>
        <w:t xml:space="preserve">근거 (수치 + 출처: DART 공시 파생 계산)</w:t>
      </w:r>
    </w:p>
    <w:p>
      <w:pPr>
        <w:pStyle w:val="ListParagraph"/>
        <w:numPr>
          <w:ilvl w:val="0"/>
          <w:numId w:val="1"/>
        </w:numPr>
        <w:jc w:val="both"/>
      </w:pPr>
      <w:r>
        <w:t xml:space="preserve">매출 성장률 </w:t>
      </w:r>
      <w:r>
        <w:rPr>
          <w:b/>
        </w:rPr>
        <w:t xml:space="preserve">-30%</w:t>
      </w:r>
      <w:r>
        <w:t xml:space="preserve"> vs 매출채권 성장률 </w:t>
      </w:r>
      <w:r>
        <w:rPr>
          <w:b/>
        </w:rPr>
        <w:t xml:space="preserve">-2.5%</w:t>
      </w:r>
      <w:r>
        <w:t xml:space="preserve"> — 괴리 </w:t>
      </w:r>
      <w:r>
        <w:rPr>
          <w:b/>
        </w:rPr>
        <w:t xml:space="preserve">27.4%p</w:t>
      </w:r>
      <w:r>
        <w:t xml:space="preserve"> (임계값 15%p 초과)</w:t>
      </w:r>
    </w:p>
    <w:p>
      <w:pPr>
        <w:pStyle w:val="ListParagraph"/>
        <w:numPr>
          <w:ilvl w:val="0"/>
          <w:numId w:val="1"/>
        </w:numPr>
        <w:jc w:val="both"/>
      </w:pPr>
      <w:r>
        <w:t xml:space="preserve">영업현금흐름/영업이익 비율 </w:t>
      </w:r>
      <w:r>
        <w:rPr>
          <w:b/>
        </w:rPr>
        <w:t xml:space="preserve">0.71</w:t>
      </w:r>
      <w:r>
        <w:t xml:space="preserve"> (임계 하한 0.8 미달)</w:t>
      </w:r>
    </w:p>
    <w:p>
      <w:pPr>
        <w:jc w:val="both"/>
      </w:pPr>
      <w:r>
        <w:rPr>
          <w:b/>
        </w:rPr>
        <w:t xml:space="preserve">왜 문제인가 (인과 사슬)</w:t>
      </w:r>
    </w:p>
    <w:p>
      <w:pPr>
        <w:jc w:val="both"/>
      </w:pPr>
      <w:r>
        <w:t xml:space="preserve">매출이 줄면 통상 매출채권도 비슷한 속도로 줄어야 합니다. 채권이 거의 줄지 않았다는 것은, 축소된 매출 안에서도 회수가 늦어지는 거래(장기 미수 퍼블리셔·플랫폼 정산 지연 등)의 비중이 커지고 있거나, 기말에 인식된 매출이 현금으로 이어지지 못하고 채권으로 잔류하고 있다는 뜻이 됩니다. 이 상태가 이어지면 손익계산서의 이익과 실제 현금창출력 사이의 간극이 벌어지고, 그 간극은 결국 대손 부담이나 운전자본 압박으로 되돌아옵니다. 영업이익 대비 현금흐름 전환율이 이미 임계선 아래라는 점이 이 경로가 작동 중일 가능성을 뒷받침합니다.</w:t>
      </w:r>
    </w:p>
    <w:p>
      <w:pPr>
        <w:jc w:val="both"/>
      </w:pPr>
      <w:r>
        <w:rPr>
          <w:b/>
          <w:color w:val="1B2A4A"/>
        </w:rPr>
        <w:t xml:space="preserve">확신도. </w:t>
      </w:r>
      <w:r>
        <w:rPr>
          <w:b/>
          <w:color w:val="B45309"/>
        </w:rPr>
        <w:t xml:space="preserve">가설</w:t>
      </w:r>
      <w:r>
        <w:t xml:space="preserve"> — 괴리 자체는 계산으로 확인되나, 원인(회수 지연 vs 인식 시점 vs 거래처 구성 변화)은 추가 확인이 필요합니다.</w:t>
      </w:r>
    </w:p>
    <w:p>
      <w:pPr>
        <w:jc w:val="both"/>
      </w:pPr>
      <w:r>
        <w:rPr>
          <w:b/>
          <w:color w:val="1B2A4A"/>
        </w:rPr>
        <w:t xml:space="preserve">판별 테스트. </w:t>
      </w:r>
    </w:p>
    <w:p>
      <w:pPr>
        <w:jc w:val="both"/>
      </w:pPr>
      <w:r>
        <w:t xml:space="preserve">1. 분기보고서로 매출채권 잔액 추이를 분기 단위로 좁혀, 괴리가 특정 분기(특히 기말)에 집중되는지 확인</w:t>
      </w:r>
    </w:p>
    <w:p>
      <w:pPr>
        <w:jc w:val="both"/>
      </w:pPr>
      <w:r>
        <w:t xml:space="preserve">2. 주석의 매출채권 연령 분석에서 90일 초과 채권 비중의 전년 대비 변화 확인</w:t>
      </w:r>
    </w:p>
    <w:p>
      <w:pPr>
        <w:jc w:val="both"/>
      </w:pPr>
      <w:r>
        <w:t xml:space="preserve">3. 대손충당금 설정률 추이가 채권 잔류와 같은 방향으로 움직이는지 대조 — 충당금이 늘지 않은 채 채권만 남아 있으면 인식 정책 점검으로 확장</w:t>
      </w:r>
    </w:p>
    <w:p>
      <w:pPr>
        <w:jc w:val="both"/>
      </w:pPr>
      <w:r>
        <w:rPr>
          <w:b/>
          <w:color w:val="1B2A4A"/>
        </w:rPr>
        <w:t xml:space="preserve">권고 조치. </w:t>
      </w:r>
    </w:p>
    <w:p>
      <w:pPr>
        <w:pStyle w:val="ListParagraph"/>
        <w:numPr>
          <w:ilvl w:val="0"/>
          <w:numId w:val="1"/>
        </w:numPr>
        <w:jc w:val="both"/>
      </w:pPr>
      <w:r>
        <w:t xml:space="preserve">CFO에게 주요 거래처(퍼블리셔·플랫폼)별 채권 회수 기일 리포트를 요청하고, 회수 기일이 늘어난 거래처를 특정하십시오.</w:t>
      </w:r>
    </w:p>
    <w:p>
      <w:pPr>
        <w:pStyle w:val="ListParagraph"/>
        <w:numPr>
          <w:ilvl w:val="0"/>
          <w:numId w:val="1"/>
        </w:numPr>
        <w:jc w:val="both"/>
      </w:pPr>
      <w:r>
        <w:t xml:space="preserve">차기 분기 결산 전, 감사인과 수익 인식 시점 및 대손 설정 기준에 대한 사전 협의 일정을 잡으십시오.</w:t>
      </w:r>
    </w:p>
    <w:p>
      <w:pPr>
        <w:pStyle w:val="ListParagraph"/>
        <w:numPr>
          <w:ilvl w:val="0"/>
          <w:numId w:val="1"/>
        </w:numPr>
        <w:jc w:val="both"/>
      </w:pPr>
      <w:r>
        <w:t xml:space="preserve">다음 분기 영업현금흐름이 영업이익 대비 회복되는지를 이 리스크의 해소/악화 판정 기준으로 삼으십시오.</w:t>
      </w:r>
    </w:p>
    <w:p>
      <w:pPr>
        <w:pStyle w:val="Heading1"/>
      </w:pPr>
      <w:r>
        <w:rPr>
          <w:b/>
          <w:color w:val="1B2A4A"/>
        </w:rPr>
        <w:t xml:space="preserve">미발화 신호 (참고 — 리스크 아님)</w:t>
      </w:r>
    </w:p>
    <w:p>
      <w:pPr>
        <w:pStyle w:val="ListParagraph"/>
        <w:numPr>
          <w:ilvl w:val="0"/>
          <w:numId w:val="1"/>
        </w:numPr>
        <w:jc w:val="both"/>
      </w:pPr>
      <w:r>
        <w:rPr>
          <w:b/>
        </w:rPr>
        <w:t xml:space="preserve">유동성(E4)</w:t>
      </w:r>
      <w:r>
        <w:t xml:space="preserve">: 유동비율이 안정 대역에 있어 임계값 미달로 미발화 — 단기 지급능력 측면의 경고는 없습니다.</w:t>
      </w:r>
    </w:p>
    <w:p>
      <w:pPr>
        <w:pStyle w:val="ListParagraph"/>
        <w:numPr>
          <w:ilvl w:val="0"/>
          <w:numId w:val="1"/>
        </w:numPr>
        <w:jc w:val="both"/>
      </w:pPr>
      <w:r>
        <w:rPr>
          <w:b/>
        </w:rPr>
        <w:t xml:space="preserve">공시 행간(E5)</w:t>
      </w:r>
      <w:r>
        <w:t xml:space="preserve">: 최근 90일 공시에서 정정·해명 패턴이 임계값 미달로 미발화했습니다.</w:t>
      </w:r>
    </w:p>
    <w:p>
      <w:pPr>
        <w:pStyle w:val="ListParagraph"/>
        <w:numPr>
          <w:ilvl w:val="0"/>
          <w:numId w:val="1"/>
        </w:numPr>
        <w:jc w:val="both"/>
      </w:pPr>
      <w:r>
        <w:rPr>
          <w:b/>
        </w:rPr>
        <w:t xml:space="preserve">발생액 품질(E8)</w:t>
      </w:r>
      <w:r>
        <w:t xml:space="preserve">: 이익-현금 괴리의 발생액 축은 임계값 미달로 미발화 — 다만 E1과 같은 계열의 지표이므로, 위 판별 테스트에서 함께 관찰하시길 권합니다.</w:t>
      </w:r>
    </w:p>
    <w:p>
      <w:pPr>
        <w:pStyle w:val="ListParagraph"/>
        <w:numPr>
          <w:ilvl w:val="0"/>
          <w:numId w:val="1"/>
        </w:numPr>
        <w:jc w:val="both"/>
      </w:pPr>
      <w:r>
        <w:rPr>
          <w:b/>
        </w:rPr>
        <w:t xml:space="preserve">재고 적체(E2)·차입 부담(E3)</w:t>
      </w:r>
      <w:r>
        <w:t xml:space="preserve">: 공시에서 해당 계정을 찾지 못해 </w:t>
      </w:r>
      <w:r>
        <w:rPr>
          <w:b/>
        </w:rPr>
        <w:t xml:space="preserve">평가 불가</w:t>
      </w:r>
      <w:r>
        <w:t xml:space="preserve"> — 미발화가 아니라 미평가이므로, 안전하다는 결론의 근거로 쓰지 마십시오.</w:t>
      </w:r>
    </w:p>
    <w:p>
      <w:pPr>
        <w:pStyle w:val="Heading1"/>
      </w:pPr>
      <w:r>
        <w:rPr>
          <w:b/>
          <w:color w:val="1B2A4A"/>
        </w:rPr>
        <w:t xml:space="preserve">확인 범위와 한계</w:t>
      </w:r>
    </w:p>
    <w:p>
      <w:pPr>
        <w:pStyle w:val="ListParagraph"/>
        <w:numPr>
          <w:ilvl w:val="0"/>
          <w:numId w:val="1"/>
        </w:numPr>
        <w:jc w:val="both"/>
      </w:pPr>
      <w:r>
        <w:t xml:space="preserve">이 브리핑은 DART 공시(2025 연결)와 한국은행 거시지표에서 결정론적으로 파생된 신호에 기반하며, 내부 회계 데이터(거래처별 원장·원가 상세)는 제공되지 않아 거래처 집중·원가 왜곡 축은 진단 범위 밖입니다.</w:t>
      </w:r>
    </w:p>
    <w:p>
      <w:pPr>
        <w:pStyle w:val="ListParagraph"/>
        <w:numPr>
          <w:ilvl w:val="0"/>
          <w:numId w:val="1"/>
        </w:numPr>
        <w:jc w:val="both"/>
      </w:pPr>
      <w:r>
        <w:t xml:space="preserve">E1의 발화는 회계 처리의 문제를 단정하는 것이 아니라, 매출 위축기에 흔히 나타나는 회수 구조 변화일 가능성과 이익 인식 품질 문제일 가능성을 모두 남겨 둔 점검 신호입니다. 판별은 위 테스트의 실측 결과가 대신합니다.</w:t>
      </w:r>
    </w:p>
    <w:p>
      <w:pPr>
        <w:pStyle w:val="ListParagraph"/>
        <w:numPr>
          <w:ilvl w:val="0"/>
          <w:numId w:val="1"/>
        </w:numPr>
        <w:jc w:val="both"/>
      </w:pPr>
      <w:r>
        <w:t xml:space="preserve">재고·차입 축은 공시 계정 부재로 평가되지 않았으며, 뉴스·시장·문서 축은 이번 진단에 포함되지 않았습니다.</w:t>
      </w:r>
    </w:p>
    <w:p>
      <w:pPr>
        <w:pStyle w:val="ListParagraph"/>
        <w:numPr>
          <w:ilvl w:val="0"/>
          <w:numId w:val="1"/>
        </w:numPr>
        <w:jc w:val="both"/>
      </w:pPr>
      <w:r>
        <w:t xml:space="preserve">발생액 비율 등 일부 지표는 조 단위 반올림 표시의 한계로 소규모 변동이 가려질 수 있습니다.</w:t>
      </w:r>
    </w:p>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Management risk briefing | Not investment advice</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CEO Risk Briefing</w:t>
    </w:r>
    <w:r>
      <w:rPr>
        <w:color w:val="A6A6A6"/>
        <w:sz w:val="16"/>
      </w:rPr>
      <w:tab/>
    </w:r>
    <w:r>
      <w:rPr>
        <w:b/>
        <w:color w:val="D04A02"/>
        <w:sz w:val="16"/>
      </w:rPr>
      <w:t>Confidential</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Snapshot" Type="http://schemas.openxmlformats.org/officeDocument/2006/relationships/image" Target="media/executive-summary.png"/>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CEO 서명용 경영리스크 브리핑 — (주)넥슨게임즈</dc:title>
  <dc:creator>Trusted CEO Agent</dc:creator>
  <cp:lastModifiedBy>Trusted CEO Agent</cp:lastModifiedBy>
  <dcterms:created xsi:type="dcterms:W3CDTF">2026-07-14T00:00:00Z</dcterms:created>
  <dcterms:modified xsi:type="dcterms:W3CDTF">2026-07-14T00:00:00Z</dcterms:modified>
</cp:coreProperties>
</file>