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shd w:val="clear" w:color="auto" w:fill="D04A02"/>
        <w:spacing w:before="0" w:after="480"/>
      </w:pPr>
      <w:r>
        <w:t xml:space="preserve"> </w:t>
      </w:r>
    </w:p>
    <w:p>
      <w:pPr>
        <w:spacing w:before="1200" w:after="120"/>
      </w:pPr>
      <w:r>
        <w:rPr>
          <w:color w:val="595959"/>
          <w:sz w:val="22"/>
          <w:szCs w:val="22"/>
        </w:rPr>
        <w:t xml:space="preserve">CEO 경영 리스크 브리핑</w:t>
      </w:r>
    </w:p>
    <w:p>
      <w:pPr>
        <w:spacing w:after="360"/>
      </w:pPr>
      <w:r>
        <w:rPr>
          <w:b/>
          <w:color w:val="1B2A4A"/>
          <w:sz w:val="52"/>
          <w:szCs w:val="52"/>
        </w:rPr>
        <w:t xml:space="preserve">CEO 서명용 리스크 브리핑 — (주)레이저옵텍</w:t>
      </w:r>
    </w:p>
    <w:p>
      <w:pPr>
        <w:spacing w:after="160"/>
      </w:pPr>
      <w:r>
        <w:rPr>
          <w:b/>
          <w:color w:val="D04A02"/>
          <w:sz w:val="20"/>
          <w:szCs w:val="20"/>
        </w:rPr>
        <w:t xml:space="preserve">대외비 · Confidential</w:t>
      </w:r>
    </w:p>
    <w:p>
      <w:pPr>
        <w:spacing w:after="600"/>
      </w:pPr>
      <w:r>
        <w:rPr>
          <w:color w:val="595959"/>
          <w:sz w:val="20"/>
          <w:szCs w:val="20"/>
        </w:rPr>
        <w:t xml:space="preserve">작성일 2026-07-14</w:t>
      </w:r>
    </w:p>
    <w:p>
      <w:pPr>
        <w:spacing w:before="2400" w:after="0"/>
      </w:pPr>
      <w:r>
        <w:rPr>
          <w:color w:val="A6A6A6"/>
          <w:sz w:val="16"/>
          <w:szCs w:val="16"/>
        </w:rPr>
        <w:t xml:space="preserve">본 보고서는 trusted-ceo-agent 진단 파이프라인(불변식 게이트 → 결정론 신호 파생 → 자동 채점)을 통과한 데이터에 기반해 작성되었으며, CEO 경영 판단 보조 자료로서 투자자문·투자권유가 아닙니다.</w:t>
      </w:r>
    </w:p>
    <w:p>
      <w:r>
        <w:br w:type="page"/>
      </w:r>
    </w:p>
    <w:p>
      <w:pPr>
        <w:pStyle w:val="Heading1"/>
      </w:pPr>
      <w:r>
        <w:rPr>
          <w:b/>
          <w:color w:val="1B2A4A"/>
        </w:rPr>
        <w:t xml:space="preserve">Executive Snapshot</w:t>
      </w:r>
    </w:p>
    <w:p>
      <w:pPr>
        <w:jc w:val="center"/>
        <w:spacing w:before="120" w:after="240"/>
      </w:pPr>
      <w:r>
        <w:drawing>
          <wp:inline xmlns:wp="http://schemas.openxmlformats.org/drawingml/2006/wordprocessingDrawing" distT="0" distB="0" distL="0" distR="0">
            <wp:extent cx="5943600" cy="3714750"/>
            <wp:effectExtent l="0" t="0" r="0" b="0"/>
            <wp:docPr id="1" name="Executive Snap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executive-summary.png"/>
                    <pic:cNvPicPr/>
                  </pic:nvPicPr>
                  <pic:blipFill>
                    <a:blip xmlns:r="http://schemas.openxmlformats.org/officeDocument/2006/relationships" r:embed="rIdSnapshot"/>
                    <a:stretch>
                      <a:fillRect/>
                    </a:stretch>
                  </pic:blipFill>
                  <pic:spPr>
                    <a:xfrm>
                      <a:off x="0" y="0"/>
                      <a:ext cx="5943600" cy="3714750"/>
                    </a:xfrm>
                    <a:prstGeom prst="rect">
                      <a:avLst/>
                    </a:prstGeom>
                  </pic:spPr>
                </pic:pic>
              </a:graphicData>
            </a:graphic>
          </wp:inline>
        </w:drawing>
      </w:r>
    </w:p>
    <w:p>
      <w:r>
        <w:br w:type="page"/>
      </w:r>
    </w:p>
    <w:p>
      <w:pPr>
        <w:pStyle w:val="Heading1"/>
      </w:pPr>
      <w:r>
        <w:rPr>
          <w:b/>
          <w:color w:val="1B2A4A"/>
        </w:rPr>
        <w:t xml:space="preserve">핵심 리스크 한눈에 보기</w:t>
      </w:r>
    </w:p>
    <w:tbl>
      <w:tblPr>
        <w:tblStyle w:val="TableGrid"/>
        <w:tblW w:w="9070" w:type="dxa"/>
        <w:tblLayout w:type="fixed"/>
        <w:tblBorders>
          <w:top w:val="single" w:sz="4" w:color="D9D9D9"/>
          <w:left w:val="single" w:sz="4" w:color="D9D9D9"/>
          <w:bottom w:val="single" w:sz="4" w:color="D9D9D9"/>
          <w:right w:val="single" w:sz="4" w:color="D9D9D9"/>
          <w:insideH w:val="single" w:sz="4" w:color="D9D9D9"/>
          <w:insideV w:val="single" w:sz="4" w:color="D9D9D9"/>
        </w:tblBorders>
      </w:tblPr>
      <w:tr>
        <w:tc>
          <w:tcPr>
            <w:tcW w:w="700" w:type="dxa"/>
            <w:shd w:val="clear" w:color="auto" w:fill="F2E8E0"/>
            <w:vAlign w:val="center"/>
          </w:tcPr>
          <w:p>
            <w:pPr>
              <w:spacing w:before="60" w:after="60"/>
            </w:pPr>
            <w:r>
              <w:rPr>
                <w:b/>
                <w:color w:val="1B2A4A"/>
                <w:sz w:val="19"/>
                <w:szCs w:val="19"/>
              </w:rPr>
              <w:t xml:space="preserve">구분</w:t>
            </w:r>
          </w:p>
        </w:tc>
        <w:tc>
          <w:tcPr>
            <w:tcW w:w="3300" w:type="dxa"/>
            <w:shd w:val="clear" w:color="auto" w:fill="F2E8E0"/>
            <w:vAlign w:val="center"/>
          </w:tcPr>
          <w:p>
            <w:pPr>
              <w:spacing w:before="60" w:after="60"/>
            </w:pPr>
            <w:r>
              <w:rPr>
                <w:b/>
                <w:color w:val="1B2A4A"/>
                <w:sz w:val="19"/>
                <w:szCs w:val="19"/>
              </w:rPr>
              <w:t xml:space="preserve">리스크</w:t>
            </w:r>
          </w:p>
        </w:tc>
        <w:tc>
          <w:tcPr>
            <w:tcW w:w="1100" w:type="dxa"/>
            <w:shd w:val="clear" w:color="auto" w:fill="F2E8E0"/>
            <w:vAlign w:val="center"/>
          </w:tcPr>
          <w:p>
            <w:pPr>
              <w:spacing w:before="60" w:after="60"/>
            </w:pPr>
            <w:r>
              <w:rPr>
                <w:b/>
                <w:color w:val="1B2A4A"/>
                <w:sz w:val="19"/>
                <w:szCs w:val="19"/>
              </w:rPr>
              <w:t xml:space="preserve">확신도</w:t>
            </w:r>
          </w:p>
        </w:tc>
        <w:tc>
          <w:tcPr>
            <w:tcW w:w="3970" w:type="dxa"/>
            <w:shd w:val="clear" w:color="auto" w:fill="F2E8E0"/>
            <w:vAlign w:val="center"/>
          </w:tcPr>
          <w:p>
            <w:pPr>
              <w:spacing w:before="60" w:after="60"/>
            </w:pPr>
            <w:r>
              <w:rPr>
                <w:b/>
                <w:color w:val="1B2A4A"/>
                <w:sz w:val="19"/>
                <w:szCs w:val="19"/>
              </w:rPr>
              <w:t xml:space="preserve">최우선 조치</w:t>
            </w:r>
          </w:p>
        </w:tc>
      </w:tr>
      <w:tr>
        <w:tc>
          <w:tcPr>
            <w:tcW w:w="700" w:type="dxa"/>
            <w:vAlign w:val="center"/>
          </w:tcPr>
          <w:p>
            <w:pPr>
              <w:spacing w:before="60" w:after="60"/>
            </w:pPr>
            <w:r>
              <w:rPr>
                <w:b/>
                <w:color w:val="D04A02"/>
                <w:sz w:val="19"/>
                <w:szCs w:val="19"/>
              </w:rPr>
              <w:t xml:space="preserve">R1</w:t>
            </w:r>
          </w:p>
        </w:tc>
        <w:tc>
          <w:tcPr>
            <w:tcW w:w="3300" w:type="dxa"/>
            <w:vAlign w:val="center"/>
          </w:tcPr>
          <w:p>
            <w:pPr>
              <w:spacing w:before="60" w:after="60"/>
            </w:pPr>
            <w:r>
              <w:rPr>
                <w:b/>
                <w:sz w:val="19"/>
                <w:szCs w:val="19"/>
              </w:rPr>
              <w:t xml:space="preserve">재고 자산 적체: 매출은 줄었는데 재고는 늘고 있습니다 (E2)</w:t>
            </w:r>
          </w:p>
        </w:tc>
        <w:tc>
          <w:tcPr>
            <w:tcW w:w="1100" w:type="dxa"/>
            <w:vAlign w:val="center"/>
          </w:tcPr>
          <w:p>
            <w:pPr>
              <w:spacing w:before="60" w:after="60"/>
            </w:pPr>
            <w:r>
              <w:rPr>
                <w:b/>
                <w:color w:val="1F7A33"/>
                <w:sz w:val="19"/>
                <w:szCs w:val="19"/>
              </w:rPr>
              <w:t xml:space="preserve">확인됨</w:t>
            </w:r>
          </w:p>
        </w:tc>
        <w:tc>
          <w:tcPr>
            <w:tcW w:w="3970" w:type="dxa"/>
            <w:vAlign w:val="center"/>
          </w:tcPr>
          <w:p>
            <w:pPr>
              <w:spacing w:before="60" w:after="60"/>
            </w:pPr>
            <w:r>
              <w:rPr>
                <w:sz w:val="19"/>
                <w:szCs w:val="19"/>
              </w:rPr>
              <w:t xml:space="preserve">이번 분기 내 생산·구매 계획을 최신 수주 잔고 기준으로 재승인하시고, 재고 평가 정책(평가손실 인식 기준)을 감사인과 사전에 정렬해 두시기 바랍니다.</w:t>
            </w:r>
          </w:p>
        </w:tc>
      </w:tr>
      <w:tr>
        <w:tc>
          <w:tcPr>
            <w:tcW w:w="700" w:type="dxa"/>
            <w:vAlign w:val="center"/>
          </w:tcPr>
          <w:p>
            <w:pPr>
              <w:spacing w:before="60" w:after="60"/>
            </w:pPr>
            <w:r>
              <w:rPr>
                <w:b/>
                <w:color w:val="D04A02"/>
                <w:sz w:val="19"/>
                <w:szCs w:val="19"/>
              </w:rPr>
              <w:t xml:space="preserve">R2</w:t>
            </w:r>
          </w:p>
        </w:tc>
        <w:tc>
          <w:tcPr>
            <w:tcW w:w="3300" w:type="dxa"/>
            <w:vAlign w:val="center"/>
          </w:tcPr>
          <w:p>
            <w:pPr>
              <w:spacing w:before="60" w:after="60"/>
            </w:pPr>
            <w:r>
              <w:rPr>
                <w:b/>
                <w:sz w:val="19"/>
                <w:szCs w:val="19"/>
              </w:rPr>
              <w:t xml:space="preserve">차입 확대 속 이자보상능력 악화: 영업에서 이자를 갚지 못하는 구간입니다 (E3)</w:t>
            </w:r>
          </w:p>
        </w:tc>
        <w:tc>
          <w:tcPr>
            <w:tcW w:w="1100" w:type="dxa"/>
            <w:vAlign w:val="center"/>
          </w:tcPr>
          <w:p>
            <w:pPr>
              <w:spacing w:before="60" w:after="60"/>
            </w:pPr>
            <w:r>
              <w:rPr>
                <w:b/>
                <w:color w:val="1F7A33"/>
                <w:sz w:val="19"/>
                <w:szCs w:val="19"/>
              </w:rPr>
              <w:t xml:space="preserve">확인됨</w:t>
            </w:r>
          </w:p>
        </w:tc>
        <w:tc>
          <w:tcPr>
            <w:tcW w:w="3970" w:type="dxa"/>
            <w:vAlign w:val="center"/>
          </w:tcPr>
          <w:p>
            <w:pPr>
              <w:spacing w:before="60" w:after="60"/>
            </w:pPr>
            <w:r>
              <w:rPr>
                <w:sz w:val="19"/>
                <w:szCs w:val="19"/>
              </w:rPr>
              <w:t xml:space="preserve">만기 스케줄과 약정 조건을 이번 달 내 전수 점검하시고, 주채권은행과의 차환 협의를 리스크가 표면화되기 전에 선제적으로 시작하시기 바랍니다. 재고 감축(리스크 1)을 통한 현금 회수를 차입 의존 완화의 1차 수단으로 연결하는 것을 권고드립니다.</w:t>
            </w:r>
          </w:p>
        </w:tc>
      </w:tr>
    </w:tbl>
    <w:p>
      <w:pPr>
        <w:spacing w:before="80" w:after="240"/>
      </w:pPr>
      <w:r>
        <w:rPr>
          <w:color w:val="A6A6A6"/>
          <w:sz w:val="17"/>
          <w:szCs w:val="17"/>
        </w:rPr>
        <w:t xml:space="preserve">표의 확신도는 본문 각 리스크 절의 확신도 표기를 그대로 요약한 것입니다. 상세 근거 수치와 판별 테스트는 본문을 참조하십시오.</w:t>
      </w:r>
    </w:p>
    <w:p>
      <w:pPr>
        <w:pStyle w:val="ListParagraph"/>
        <w:numPr>
          <w:ilvl w:val="0"/>
          <w:numId w:val="1"/>
        </w:numPr>
        <w:jc w:val="both"/>
      </w:pPr>
      <w:r>
        <w:rPr>
          <w:b/>
        </w:rPr>
        <w:t xml:space="preserve">대상 기업</w:t>
      </w:r>
      <w:r>
        <w:t xml:space="preserve">: (주)레이저옵텍 (종목코드 199550, 사업자등록번호 209-81-26339, 대표이사 주홍·이창진)</w:t>
      </w:r>
    </w:p>
    <w:p>
      <w:pPr>
        <w:pStyle w:val="ListParagraph"/>
        <w:numPr>
          <w:ilvl w:val="0"/>
          <w:numId w:val="1"/>
        </w:numPr>
        <w:jc w:val="both"/>
      </w:pPr>
      <w:r>
        <w:rPr>
          <w:b/>
        </w:rPr>
        <w:t xml:space="preserve">기준</w:t>
      </w:r>
      <w:r>
        <w:t xml:space="preserve">: 2025 사업연도 연결재무제표(CFS), 최근 90일 공시 창</w:t>
      </w:r>
    </w:p>
    <w:p>
      <w:pPr>
        <w:pStyle w:val="ListParagraph"/>
        <w:numPr>
          <w:ilvl w:val="0"/>
          <w:numId w:val="1"/>
        </w:numPr>
        <w:jc w:val="both"/>
      </w:pPr>
      <w:r>
        <w:rPr>
          <w:b/>
        </w:rPr>
        <w:t xml:space="preserve">거시 환경</w:t>
      </w:r>
      <w:r>
        <w:t xml:space="preserve">: 한국은행 기준금리 2.5% (2026-07-12 기준, 관측 구간 내 변동 없음) — 금리 부담이 완화 국면이라 보기 어려운 수준에서 유지되고 있어, 아래 차입 관련 리스크의 배경이 됩니다.</w:t>
      </w:r>
    </w:p>
    <w:p>
      <w:pPr>
        <w:pStyle w:val="ListParagraph"/>
        <w:numPr>
          <w:ilvl w:val="0"/>
          <w:numId w:val="1"/>
        </w:numPr>
        <w:jc w:val="both"/>
      </w:pPr>
      <w:r>
        <w:rPr>
          <w:b/>
        </w:rPr>
        <w:t xml:space="preserve">발화 신호</w:t>
      </w:r>
      <w:r>
        <w:t xml:space="preserve">: 외부 신호 6종 중 </w:t>
      </w:r>
      <w:r>
        <w:rPr>
          <w:b/>
        </w:rPr>
        <w:t xml:space="preserve">2종 발화</w:t>
      </w:r>
      <w:r>
        <w:t xml:space="preserve"> (E2 재고 자산 적체, E3 차입 확대·이자 부담)</w:t>
      </w:r>
    </w:p>
    <w:p>
      <w:pPr>
        <w:pStyle w:val="Heading1"/>
      </w:pPr>
      <w:r>
        <w:rPr>
          <w:b/>
          <w:color w:val="1B2A4A"/>
        </w:rPr>
        <w:t xml:space="preserve">리스크 1 — 재고 자산 적체: 매출은 줄었는데 재고는 늘고 있습니다 (E2)</w:t>
      </w:r>
    </w:p>
    <w:p>
      <w:pPr>
        <w:jc w:val="both"/>
      </w:pPr>
      <w:r>
        <w:rPr>
          <w:b/>
          <w:color w:val="1B2A4A"/>
        </w:rPr>
        <w:t xml:space="preserve">결론. </w:t>
      </w:r>
      <w:r>
        <w:t xml:space="preserve">매출이 역성장하는 가운데 재고자산이 반대 방향으로 큰 폭 증가해, 판매로 소화되지 못한 재고가 대차대조표에 쌓이고 있을 가능성이 있습니다.</w:t>
      </w:r>
    </w:p>
    <w:p>
      <w:pPr>
        <w:jc w:val="both"/>
      </w:pPr>
      <w:r>
        <w:rPr>
          <w:b/>
        </w:rPr>
        <w:t xml:space="preserve">근거 (출처: DART 2025 연결재무제표 파생 계산)</w:t>
      </w:r>
    </w:p>
    <w:p>
      <w:pPr>
        <w:pStyle w:val="ListParagraph"/>
        <w:numPr>
          <w:ilvl w:val="0"/>
          <w:numId w:val="1"/>
        </w:numPr>
        <w:jc w:val="both"/>
      </w:pPr>
      <w:r>
        <w:t xml:space="preserve">매출 증가율 </w:t>
      </w:r>
      <w:r>
        <w:rPr>
          <w:b/>
        </w:rPr>
        <w:t xml:space="preserve">-22.2%</w:t>
      </w:r>
      <w:r>
        <w:t xml:space="preserve"> (역성장)</w:t>
      </w:r>
    </w:p>
    <w:p>
      <w:pPr>
        <w:pStyle w:val="ListParagraph"/>
        <w:numPr>
          <w:ilvl w:val="0"/>
          <w:numId w:val="1"/>
        </w:numPr>
        <w:jc w:val="both"/>
      </w:pPr>
      <w:r>
        <w:t xml:space="preserve">재고자산 증가율 </w:t>
      </w:r>
      <w:r>
        <w:rPr>
          <w:b/>
        </w:rPr>
        <w:t xml:space="preserve">+38.9%</w:t>
      </w:r>
    </w:p>
    <w:p>
      <w:pPr>
        <w:pStyle w:val="ListParagraph"/>
        <w:numPr>
          <w:ilvl w:val="0"/>
          <w:numId w:val="1"/>
        </w:numPr>
        <w:jc w:val="both"/>
      </w:pPr>
      <w:r>
        <w:t xml:space="preserve">두 지표의 괴리 </w:t>
      </w:r>
      <w:r>
        <w:rPr>
          <w:b/>
        </w:rPr>
        <w:t xml:space="preserve">61.1%p</w:t>
      </w:r>
      <w:r>
        <w:t xml:space="preserve"> — 발화 임계값(15%p)을 4배 이상 상회</w:t>
      </w:r>
    </w:p>
    <w:p>
      <w:pPr>
        <w:jc w:val="both"/>
      </w:pPr>
      <w:r>
        <w:rPr>
          <w:b/>
          <w:color w:val="1B2A4A"/>
        </w:rPr>
        <w:t xml:space="preserve">왜 문제인가. </w:t>
      </w:r>
      <w:r>
        <w:t xml:space="preserve">매출이 줄어드는 국면에서 재고가 늘어난다는 것은, 생산·구매 계획이 수요 위축을 따라가지 못하고 있거나 이미 만든 제품이 팔리지 않고 있다는 신호입니다. 팔리지 않는 재고는 시간이 지날수록 평가손실로 이익을 갉아먹고, 재고에 묶인 현금은 운전자본 부담으로 돌아옵니다. 특히 아래 리스크 2(차입 확대)와 겹치면, 재고에 잠긴 현금을 차입으로 메우는 구조가 될 수 있어 두 신호를 함께 보셔야 합니다.</w:t>
      </w:r>
    </w:p>
    <w:p>
      <w:pPr>
        <w:jc w:val="both"/>
      </w:pPr>
      <w:r>
        <w:rPr>
          <w:b/>
          <w:color w:val="1B2A4A"/>
        </w:rPr>
        <w:t xml:space="preserve">확신도. </w:t>
      </w:r>
      <w:r>
        <w:rPr>
          <w:b/>
        </w:rPr>
        <w:t xml:space="preserve">확인됨</w:t>
      </w:r>
      <w:r>
        <w:t xml:space="preserve"> (매출-재고 괴리 발생 자체는 공시 수치로 확인) — 다만 원인이 수요 둔화인지, 신제품 출시 대비 전략적 비축인지는 가설 단계입니다.</w:t>
      </w:r>
    </w:p>
    <w:p>
      <w:pPr>
        <w:jc w:val="both"/>
      </w:pPr>
      <w:r>
        <w:rPr>
          <w:b/>
          <w:color w:val="1B2A4A"/>
        </w:rPr>
        <w:t xml:space="preserve">판별 테스트. </w:t>
      </w:r>
    </w:p>
    <w:p>
      <w:pPr>
        <w:jc w:val="both"/>
      </w:pPr>
      <w:r>
        <w:t xml:space="preserve">1. 재무제표 주석의 </w:t>
      </w:r>
      <w:r>
        <w:rPr>
          <w:b/>
        </w:rPr>
        <w:t xml:space="preserve">재고자산 평가손실(충당금) 설정 추이</w:t>
      </w:r>
      <w:r>
        <w:t xml:space="preserve"> 확인 — 평가손실이 함께 늘고 있다면 "안 팔리는 재고" 쪽으로 기웁니다.</w:t>
      </w:r>
    </w:p>
    <w:p>
      <w:pPr>
        <w:jc w:val="both"/>
      </w:pPr>
      <w:r>
        <w:t xml:space="preserve">2. 재고 구성(제품/재공품/원재료) 변화 확인 — 완제품 비중 급증이면 판매 부진, 원재료 비중 증가면 전략 비축 가능성.</w:t>
      </w:r>
    </w:p>
    <w:p>
      <w:pPr>
        <w:jc w:val="both"/>
      </w:pPr>
      <w:r>
        <w:t xml:space="preserve">3. 재고자산회전율 추이를 분기 단위로 좁혀 적체 시작 시점 특정.</w:t>
      </w:r>
    </w:p>
    <w:p>
      <w:pPr>
        <w:jc w:val="both"/>
      </w:pPr>
      <w:r>
        <w:rPr>
          <w:b/>
          <w:color w:val="1B2A4A"/>
        </w:rPr>
        <w:t xml:space="preserve">권고 조치. </w:t>
      </w:r>
      <w:r>
        <w:t xml:space="preserve">이번 분기 내 생산·구매 계획을 최신 수주 잔고 기준으로 재승인하시고, 재고 평가 정책(평가손실 인식 기준)을 감사인과 사전에 정렬해 두시기 바랍니다.</w:t>
      </w:r>
    </w:p>
    <w:p>
      <w:pPr>
        <w:pStyle w:val="Heading1"/>
      </w:pPr>
      <w:r>
        <w:rPr>
          <w:b/>
          <w:color w:val="1B2A4A"/>
        </w:rPr>
        <w:t xml:space="preserve">리스크 2 — 차입 확대 속 이자보상능력 악화: 영업에서 이자를 갚지 못하는 구간입니다 (E3)</w:t>
      </w:r>
    </w:p>
    <w:p>
      <w:pPr>
        <w:jc w:val="both"/>
      </w:pPr>
      <w:r>
        <w:rPr>
          <w:b/>
          <w:color w:val="1B2A4A"/>
        </w:rPr>
        <w:t xml:space="preserve">결론. </w:t>
      </w:r>
      <w:r>
        <w:t xml:space="preserve">차입금이 빠르게 늘어난 동시에 이자보상배율이 음(-)의 영역에서 더 깊어져, 영업활동으로 이자비용을 감당하지 못하는 상태가 심화된 것으로 보입니다.</w:t>
      </w:r>
    </w:p>
    <w:p>
      <w:pPr>
        <w:jc w:val="both"/>
      </w:pPr>
      <w:r>
        <w:rPr>
          <w:b/>
        </w:rPr>
        <w:t xml:space="preserve">근거 (출처: DART 2025 연결재무제표 파생 계산)</w:t>
      </w:r>
    </w:p>
    <w:p>
      <w:pPr>
        <w:pStyle w:val="ListParagraph"/>
        <w:numPr>
          <w:ilvl w:val="0"/>
          <w:numId w:val="1"/>
        </w:numPr>
        <w:jc w:val="both"/>
      </w:pPr>
      <w:r>
        <w:t xml:space="preserve">차입금 증가율 </w:t>
      </w:r>
      <w:r>
        <w:rPr>
          <w:b/>
        </w:rPr>
        <w:t xml:space="preserve">+47.5%</w:t>
      </w:r>
      <w:r>
        <w:t xml:space="preserve"> — 발화 임계값(30%)을 상회 (절대 규모는 조 단위 미만: 0→0조 구간)</w:t>
      </w:r>
    </w:p>
    <w:p>
      <w:pPr>
        <w:pStyle w:val="ListParagraph"/>
        <w:numPr>
          <w:ilvl w:val="0"/>
          <w:numId w:val="1"/>
        </w:numPr>
        <w:jc w:val="both"/>
      </w:pPr>
      <w:r>
        <w:t xml:space="preserve">이자보상배율 </w:t>
      </w:r>
      <w:r>
        <w:rPr>
          <w:b/>
        </w:rPr>
        <w:t xml:space="preserve">-0.9배 → -19.3배</w:t>
      </w:r>
      <w:r>
        <w:t xml:space="preserve"> (영업이익/이자지급) — 전기 대비 </w:t>
      </w:r>
      <w:r>
        <w:rPr>
          <w:b/>
        </w:rPr>
        <w:t xml:space="preserve">-1977%</w:t>
      </w:r>
      <w:r>
        <w:t xml:space="preserve"> 악화</w:t>
      </w:r>
    </w:p>
    <w:p>
      <w:pPr>
        <w:pStyle w:val="ListParagraph"/>
        <w:numPr>
          <w:ilvl w:val="0"/>
          <w:numId w:val="1"/>
        </w:numPr>
        <w:jc w:val="both"/>
      </w:pPr>
      <w:r>
        <w:t xml:space="preserve">배율이 음수라는 것은 영업이익 자체가 적자라는 뜻입니다.</w:t>
      </w:r>
    </w:p>
    <w:p>
      <w:pPr>
        <w:jc w:val="both"/>
      </w:pPr>
      <w:r>
        <w:rPr>
          <w:b/>
          <w:color w:val="1B2A4A"/>
        </w:rPr>
        <w:t xml:space="preserve">왜 문제인가. </w:t>
      </w:r>
      <w:r>
        <w:t xml:space="preserve">영업이 이자를 벌지 못하는 회사가 차입을 늘리면, 빚으로 빚의 이자를 갚는 구조로 갈 위험이 있습니다. 이 구조는 금리가 유지되거나 매출 회복이 늦어질수록 스스로 악화되며, 만기 도래 시점에 차환이 막히면 유동성 문제가 단기간에 표면화됩니다. 현재 유동비율 자체는 발화 임계값 미달로 미발화 상태이지만, 이는 "지금 당장"의 방어력이지 이 구조가 지속 가능하다는 뜻은 아닙니다.</w:t>
      </w:r>
    </w:p>
    <w:p>
      <w:pPr>
        <w:jc w:val="both"/>
      </w:pPr>
      <w:r>
        <w:rPr>
          <w:b/>
          <w:color w:val="1B2A4A"/>
        </w:rPr>
        <w:t xml:space="preserve">확신도. </w:t>
      </w:r>
      <w:r>
        <w:rPr>
          <w:b/>
        </w:rPr>
        <w:t xml:space="preserve">확인됨</w:t>
      </w:r>
      <w:r>
        <w:t xml:space="preserve"> (차입 증가와 이자보상배율 악화는 공시 수치로 확인) — 차환 리스크의 현실화 시점·규모는 만기 구조를 확인하기 전까지 가설입니다.</w:t>
      </w:r>
    </w:p>
    <w:p>
      <w:pPr>
        <w:jc w:val="both"/>
      </w:pPr>
      <w:r>
        <w:rPr>
          <w:b/>
          <w:color w:val="1B2A4A"/>
        </w:rPr>
        <w:t xml:space="preserve">판별 테스트. </w:t>
      </w:r>
    </w:p>
    <w:p>
      <w:pPr>
        <w:jc w:val="both"/>
      </w:pPr>
      <w:r>
        <w:t xml:space="preserve">1. 주석의 </w:t>
      </w:r>
      <w:r>
        <w:rPr>
          <w:b/>
        </w:rPr>
        <w:t xml:space="preserve">차입금 만기 구조</w:t>
      </w:r>
      <w:r>
        <w:t xml:space="preserve"> 확인 — 1년 내 만기 비중이 높다면 리스크가 앞당겨집니다.</w:t>
      </w:r>
    </w:p>
    <w:p>
      <w:pPr>
        <w:jc w:val="both"/>
      </w:pPr>
      <w:r>
        <w:t xml:space="preserve">2. 변동/고정 금리 구성 확인 — 변동금리 비중이 높으면 금리 민감도가 큽니다.</w:t>
      </w:r>
    </w:p>
    <w:p>
      <w:pPr>
        <w:jc w:val="both"/>
      </w:pPr>
      <w:r>
        <w:t xml:space="preserve">3. 대출 약정(covenant)의 재무비율 조건 확인 — 이자보상배율 조건이 있다면 이미 저촉 가능성을 점검해야 합니다.</w:t>
      </w:r>
    </w:p>
    <w:p>
      <w:pPr>
        <w:jc w:val="both"/>
      </w:pPr>
      <w:r>
        <w:rPr>
          <w:b/>
          <w:color w:val="1B2A4A"/>
        </w:rPr>
        <w:t xml:space="preserve">권고 조치. </w:t>
      </w:r>
      <w:r>
        <w:t xml:space="preserve">만기 스케줄과 약정 조건을 이번 달 내 전수 점검하시고, 주채권은행과의 차환 협의를 리스크가 표면화되기 전에 선제적으로 시작하시기 바랍니다. 재고 감축(리스크 1)을 통한 현금 회수를 차입 의존 완화의 1차 수단으로 연결하는 것을 권고드립니다.</w:t>
      </w:r>
    </w:p>
    <w:p>
      <w:pPr>
        <w:pStyle w:val="Heading1"/>
      </w:pPr>
      <w:r>
        <w:rPr>
          <w:b/>
          <w:color w:val="1B2A4A"/>
        </w:rPr>
        <w:t xml:space="preserve">미발화 신호 요약 (리스크 아님)</w:t>
      </w:r>
    </w:p>
    <w:p>
      <w:pPr>
        <w:pBdr>
          <w:left w:val="single" w:sz="24" w:space="8" w:color="D04A02"/>
        </w:pBdr>
        <w:shd w:val="clear" w:color="auto" w:fill="FBF4EE"/>
        <w:spacing w:before="60" w:after="120" w:line="276" w:lineRule="auto"/>
        <w:ind w:left="284" w:right="284"/>
        <w:jc w:val="both"/>
      </w:pPr>
      <w:r>
        <w:t xml:space="preserve">다음 신호들은 이번 진단에서 </w:t>
      </w:r>
      <w:r>
        <w:rPr>
          <w:b/>
        </w:rPr>
        <w:t xml:space="preserve">임계값 미달로 미발화</w:t>
      </w:r>
      <w:r>
        <w:t xml:space="preserve">했으며, 리스크로 승격하지 않습니다.</w:t>
      </w:r>
    </w:p>
    <w:p>
      <w:pPr>
        <w:pStyle w:val="ListParagraph"/>
        <w:numPr>
          <w:ilvl w:val="0"/>
          <w:numId w:val="1"/>
        </w:numPr>
        <w:shd w:val="clear" w:color="auto" w:fill="FBF4EE"/>
        <w:jc w:val="both"/>
      </w:pPr>
      <w:r>
        <w:rPr>
          <w:b/>
        </w:rPr>
        <w:t xml:space="preserve">E1 수익-채권 괴리</w:t>
      </w:r>
      <w:r>
        <w:t xml:space="preserve">: 매출채권이 매출보다 빠르게 줄어 괴리 요건 미충족 — 채권 회수 측면의 경고는 없습니다.</w:t>
      </w:r>
    </w:p>
    <w:p>
      <w:pPr>
        <w:pStyle w:val="ListParagraph"/>
        <w:numPr>
          <w:ilvl w:val="0"/>
          <w:numId w:val="1"/>
        </w:numPr>
        <w:shd w:val="clear" w:color="auto" w:fill="FBF4EE"/>
        <w:jc w:val="both"/>
      </w:pPr>
      <w:r>
        <w:rPr>
          <w:b/>
        </w:rPr>
        <w:t xml:space="preserve">E4 유동성 하락</w:t>
      </w:r>
      <w:r>
        <w:t xml:space="preserve">: 유동비율이 2년 연속 하락 요건에 해당하지 않아 미발화 — 다만 리스크 2의 판별 테스트(만기 구조)와 함께 참고 관찰을 권합니다.</w:t>
      </w:r>
    </w:p>
    <w:p>
      <w:pPr>
        <w:pStyle w:val="ListParagraph"/>
        <w:numPr>
          <w:ilvl w:val="0"/>
          <w:numId w:val="1"/>
        </w:numPr>
        <w:shd w:val="clear" w:color="auto" w:fill="FBF4EE"/>
        <w:jc w:val="both"/>
      </w:pPr>
      <w:r>
        <w:rPr>
          <w:b/>
        </w:rPr>
        <w:t xml:space="preserve">E5 공시 행간</w:t>
      </w:r>
      <w:r>
        <w:t xml:space="preserve">: 최근 공시 창에서 정정·해명 패턴이 임계값 미달 — 공시 품질 측면의 특이 신호 없음.</w:t>
      </w:r>
    </w:p>
    <w:p>
      <w:pPr>
        <w:pStyle w:val="ListParagraph"/>
        <w:numPr>
          <w:ilvl w:val="0"/>
          <w:numId w:val="1"/>
        </w:numPr>
        <w:shd w:val="clear" w:color="auto" w:fill="FBF4EE"/>
        <w:jc w:val="both"/>
      </w:pPr>
      <w:r>
        <w:rPr>
          <w:b/>
        </w:rPr>
        <w:t xml:space="preserve">E8 발생액 품질</w:t>
      </w:r>
      <w:r>
        <w:t xml:space="preserve">: 발생액 비율이 경고 상한 이내로 미발화 — 이익-현금 괴리 축의 경고는 없습니다.</w:t>
      </w:r>
    </w:p>
    <w:p>
      <w:pPr>
        <w:pStyle w:val="Heading1"/>
      </w:pPr>
      <w:r>
        <w:rPr>
          <w:b/>
          <w:color w:val="1B2A4A"/>
        </w:rPr>
        <w:t xml:space="preserve">확인 범위와 한계</w:t>
      </w:r>
    </w:p>
    <w:p>
      <w:pPr>
        <w:pStyle w:val="ListParagraph"/>
        <w:numPr>
          <w:ilvl w:val="0"/>
          <w:numId w:val="1"/>
        </w:numPr>
        <w:jc w:val="both"/>
      </w:pPr>
      <w:r>
        <w:t xml:space="preserve">본 브리핑은 DART 공시(2025 연결재무제표, 최근 90일 공시)와 한국은행 거시지표에서 </w:t>
      </w:r>
      <w:r>
        <w:rPr>
          <w:b/>
        </w:rPr>
        <w:t xml:space="preserve">결정론적으로 파생된 신호</w:t>
      </w:r>
      <w:r>
        <w:t xml:space="preserve">에 기반하며, 내부 회계 데이터(거래처·원가 축)는 제공되지 않아 진단 범위에서 제외되었습니다. 뉴스·시장(시세) 축도 이번 진단에는 포함되지 않았습니다.</w:t>
      </w:r>
    </w:p>
    <w:p>
      <w:pPr>
        <w:pStyle w:val="ListParagraph"/>
        <w:numPr>
          <w:ilvl w:val="0"/>
          <w:numId w:val="1"/>
        </w:numPr>
        <w:jc w:val="both"/>
      </w:pPr>
      <w:r>
        <w:t xml:space="preserve">발화 신호 2종은 "공시 수치상 괴리가 존재한다"는 사실의 확인이며, 그 </w:t>
      </w:r>
      <w:r>
        <w:rPr>
          <w:b/>
        </w:rPr>
        <w:t xml:space="preserve">원인에 대한 해석(수요 둔화, 차환 구조 등)은 가설</w:t>
      </w:r>
      <w:r>
        <w:t xml:space="preserve">입니다. 각 리스크의 판별 테스트가 가설을 좁히는 절차입니다.</w:t>
      </w:r>
    </w:p>
    <w:p>
      <w:pPr>
        <w:pStyle w:val="ListParagraph"/>
        <w:numPr>
          <w:ilvl w:val="0"/>
          <w:numId w:val="1"/>
        </w:numPr>
        <w:jc w:val="both"/>
      </w:pPr>
      <w:r>
        <w:t xml:space="preserve">절대 금액이 조 단위 미만인 기업 규모 특성상 증가율 지표가 소액 변동에도 크게 움직일 수 있어, 비율과 절대액을 함께 확인하실 것을 권합니다.</w:t>
      </w:r>
    </w:p>
    <w:p>
      <w:pPr>
        <w:pStyle w:val="ListParagraph"/>
        <w:numPr>
          <w:ilvl w:val="0"/>
          <w:numId w:val="1"/>
        </w:numPr>
        <w:jc w:val="both"/>
      </w:pPr>
      <w:r>
        <w:t xml:space="preserve">본 문서는 회계 부정이나 위법의 판단이 아니며, 경영 의사결정을 위한 점검 우선순위 제안입니다. 최종 판단은 주석·감사보고서 원문 확인과 감사인·주채권은행 협의를 거쳐 내려 주시기 바랍니다.</w:t>
      </w:r>
    </w:p>
    <w:sectPr>
      <w:headerReference w:type="default" r:id="rIdHeader"/>
      <w:footerReference w:type="default" r:id="rIdFooter"/>
      <w:pgSz w:w="11906" w:h="16838"/>
      <w:pgMar w:top="1418" w:right="1418" w:bottom="1418" w:left="1418" w:header="709" w:footer="709" w:gutter="0"/>
      <w:titlePg/>
    </w:sectPr>
  </w:body>
</w:document>
</file>

<file path=word/footer1.xml><?xml version="1.0" encoding="utf-8"?>
<w:ftr xmlns:w="http://schemas.openxmlformats.org/wordprocessingml/2006/main">
  <w:p>
    <w:pPr>
      <w:pBdr>
        <w:top w:val="single" w:sz="4" w:space="4" w:color="D9D9D9"/>
      </w:pBdr>
      <w:tabs>
        <w:tab w:val="right" w:pos="9070"/>
      </w:tabs>
      <w:spacing w:after="0"/>
    </w:pPr>
    <w:r>
      <w:rPr>
        <w:color w:val="A6A6A6"/>
        <w:sz w:val="16"/>
      </w:rPr>
      <w:t xml:space="preserve">Management risk briefing | Not investment advice</w:t>
    </w:r>
    <w:r>
      <w:rPr>
        <w:color w:val="A6A6A6"/>
        <w:sz w:val="16"/>
      </w:rPr>
      <w:tab/>
    </w:r>
    <w:r>
      <w:fldChar w:fldCharType="begin"/>
    </w:r>
    <w:r>
      <w:rPr>
        <w:color w:val="A6A6A6"/>
        <w:sz w:val="16"/>
      </w:rPr>
      <w:instrText xml:space="preserve"> PAGE </w:instrText>
    </w:r>
    <w:r>
      <w:fldChar w:fldCharType="end"/>
    </w:r>
  </w:p>
</w:ftr>
</file>

<file path=word/header1.xml><?xml version="1.0" encoding="utf-8"?>
<w:hdr xmlns:w="http://schemas.openxmlformats.org/wordprocessingml/2006/main">
  <w:p>
    <w:pPr>
      <w:pBdr>
        <w:bottom w:val="single" w:sz="4" w:space="4" w:color="D9D9D9"/>
      </w:pBdr>
      <w:tabs>
        <w:tab w:val="right" w:pos="9070"/>
      </w:tabs>
      <w:spacing w:after="0"/>
    </w:pPr>
    <w:r>
      <w:rPr>
        <w:color w:val="A6A6A6"/>
        <w:sz w:val="16"/>
      </w:rPr>
      <w:t xml:space="preserve">CEO Risk Briefing</w:t>
    </w:r>
    <w:r>
      <w:rPr>
        <w:color w:val="A6A6A6"/>
        <w:sz w:val="16"/>
      </w:rPr>
      <w:tab/>
    </w:r>
    <w:r>
      <w:rPr>
        <w:b/>
        <w:color w:val="D04A02"/>
        <w:sz w:val="16"/>
      </w:rPr>
      <w:t>Confidential</w:t>
    </w:r>
  </w:p>
</w:hdr>
</file>

<file path=word/numbering.xml><?xml version="1.0" encoding="utf-8"?>
<w:numbering xmlns:w="http://schemas.openxmlformats.org/wordprocessingml/2006/main">
  <w:abstractNum w:abstractNumId="0">
    <w:lvl w:ilvl="0">
      <w:numFmt w:val="bullet"/>
      <w:lvlText w:val="•"/>
      <w:pPr>
        <w:ind w:left="425" w:hanging="212"/>
      </w:pPr>
      <w:rPr>
        <w:color w:val="D04A02"/>
      </w:rPr>
    </w:lvl>
    <w:lvl w:ilvl="1">
      <w:numFmt w:val="bullet"/>
      <w:lvlText w:val="–"/>
      <w:pPr>
        <w:ind w:left="850" w:hanging="212"/>
      </w:pPr>
      <w:rPr>
        <w:color w:val="595959"/>
      </w:rPr>
    </w:lvl>
  </w:abstractNum>
  <w:num w:numId="1">
    <w:abstractNumId w:val="0"/>
  </w:num>
</w:numbering>
</file>

<file path=word/styles.xml><?xml version="1.0" encoding="utf-8"?>
<w:styles xmlns:w="http://schemas.openxmlformats.org/wordprocessingml/2006/main">
  <w:docDefaults>
    <w:rPrDefault>
      <w:rPr>
        <w:rFonts w:ascii="Malgun Gothic" w:eastAsia="Malgun Gothic" w:hAnsi="Malgun Gothic" w:cs="Malgun Gothic"/>
        <w:sz w:val="21"/>
        <w:szCs w:val="21"/>
        <w:lang w:val="ko-KR" w:eastAsia="ko-KR"/>
      </w:rPr>
    </w:rPrDefault>
    <w:pPrDefault>
      <w:pPr>
        <w:spacing w:after="140" w:line="276" w:lineRule="auto"/>
      </w:pPr>
    </w:pPrDefault>
  </w:docDefaults>
  <w:style w:type="paragraph" w:default="1" w:styleId="Normal">
    <w:name w:val="Normal"/>
  </w:style>
  <w:style w:type="paragraph" w:styleId="Heading1">
    <w:name w:val="heading 1"/>
    <w:basedOn w:val="Normal"/>
    <w:pPr>
      <w:keepNext/>
      <w:spacing w:before="400" w:after="160"/>
      <w:pBdr>
        <w:bottom w:val="single" w:sz="8" w:space="4" w:color="D04A02"/>
      </w:pBdr>
      <w:outlineLvl w:val="0"/>
    </w:pPr>
    <w:rPr>
      <w:b/>
      <w:color w:val="1B2A4A"/>
      <w:sz w:val="27"/>
      <w:szCs w:val="27"/>
    </w:rPr>
  </w:style>
  <w:style w:type="paragraph" w:styleId="Heading2">
    <w:name w:val="heading 2"/>
    <w:basedOn w:val="Normal"/>
    <w:pPr>
      <w:keepNext/>
      <w:spacing w:before="280" w:after="120"/>
      <w:outlineLvl w:val="1"/>
    </w:pPr>
    <w:rPr>
      <w:b/>
      <w:color w:val="1B2A4A"/>
      <w:sz w:val="23"/>
      <w:szCs w:val="23"/>
    </w:rPr>
  </w:style>
  <w:style w:type="paragraph" w:styleId="ListParagraph">
    <w:name w:val="List Paragraph"/>
    <w:basedOn w:val="Normal"/>
    <w:pPr>
      <w:spacing w:after="80"/>
      <w:ind w:left="425"/>
    </w:pPr>
  </w:style>
  <w:style w:type="character" w:styleId="Hyperlink">
    <w:name w:val="Hyperlink"/>
    <w:rPr>
      <w:color w:val="1155CC"/>
      <w:u w:val="single"/>
    </w:rPr>
  </w:style>
  <w:style w:type="table" w:styleId="TableGrid">
    <w:name w:val="Table Grid"/>
  </w:style>
</w:styles>
</file>

<file path=word/_rels/document.xml.rels><?xml version="1.0" encoding="UTF-8" standalone="yes"?>
<Relationships xmlns="http://schemas.openxmlformats.org/package/2006/relationships">
<Relationship Id="rIdStyles" Type="http://schemas.openxmlformats.org/officeDocument/2006/relationships/styles" Target="styles.xml"/>
<Relationship Id="rIdNumbering" Type="http://schemas.openxmlformats.org/officeDocument/2006/relationships/numbering" Target="numbering.xml"/>
<Relationship Id="rIdHeader" Type="http://schemas.openxmlformats.org/officeDocument/2006/relationships/header" Target="header1.xml"/>
<Relationship Id="rIdFooter" Type="http://schemas.openxmlformats.org/officeDocument/2006/relationships/footer" Target="footer1.xml"/>
<Relationship Id="rIdSnapshot" Type="http://schemas.openxmlformats.org/officeDocument/2006/relationships/image" Target="media/executive-summary.png"/>

</Relationships>
</file>

<file path=docProps/app.xml><?xml version="1.0" encoding="utf-8"?>
<Properties xmlns="http://schemas.openxmlformats.org/officeDocument/2006/extended-properties">
  <Application>trusted-ceo-agent</Application>
</Properties>
</file>

<file path=docProps/core.xml><?xml version="1.0" encoding="utf-8"?>
<cp:coreProperties xmlns:cp="http://schemas.openxmlformats.org/package/2006/metadata/core-properties" xmlns:dc="http://purl.org/dc/elements/1.1/" xmlns:dcterms="http://purl.org/dc/terms/" xmlns:xsi="http://www.w3.org/2001/XMLSchema-instance">
  <dc:title>CEO 서명용 리스크 브리핑 — (주)레이저옵텍</dc:title>
  <dc:creator>Trusted CEO Agent</dc:creator>
  <cp:lastModifiedBy>Trusted CEO Agent</cp:lastModifiedBy>
  <dcterms:created xsi:type="dcterms:W3CDTF">2026-07-14T00:00:00Z</dcterms:created>
  <dcterms:modified xsi:type="dcterms:W3CDTF">2026-07-14T00:00:00Z</dcterms:modified>
</cp:coreProperties>
</file>