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(주)블루엠텍</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대상 기업</w:t>
      </w:r>
      <w:r>
        <w:t xml:space="preserve">: (주)블루엠텍 (종목코드 439580, 사업자등록번호 588-87-00059)</w:t>
      </w:r>
    </w:p>
    <w:p>
      <w:pPr>
        <w:pStyle w:val="ListParagraph"/>
        <w:numPr>
          <w:ilvl w:val="0"/>
          <w:numId w:val="1"/>
        </w:numPr>
        <w:jc w:val="both"/>
      </w:pPr>
      <w:r>
        <w:rPr>
          <w:b/>
        </w:rPr>
        <w:t xml:space="preserve">대표이사</w:t>
      </w:r>
      <w:r>
        <w:t xml:space="preserve">: 김준석</w:t>
      </w:r>
    </w:p>
    <w:p>
      <w:pPr>
        <w:pStyle w:val="ListParagraph"/>
        <w:numPr>
          <w:ilvl w:val="0"/>
          <w:numId w:val="1"/>
        </w:numPr>
        <w:jc w:val="both"/>
      </w:pPr>
      <w:r>
        <w:rPr>
          <w:b/>
        </w:rPr>
        <w:t xml:space="preserve">분석 기준</w:t>
      </w:r>
      <w:r>
        <w:t xml:space="preserve">: 2025 사업연도 연결재무제표(CFS), 공시 관찰 창 90일</w:t>
      </w:r>
    </w:p>
    <w:p>
      <w:pPr>
        <w:pStyle w:val="ListParagraph"/>
        <w:numPr>
          <w:ilvl w:val="0"/>
          <w:numId w:val="1"/>
        </w:numPr>
        <w:jc w:val="both"/>
      </w:pPr>
      <w:r>
        <w:rPr>
          <w:b/>
        </w:rPr>
        <w:t xml:space="preserve">거시 환경</w:t>
      </w:r>
      <w:r>
        <w:t xml:space="preserve">: 한국은행 기준금리 2.5% (2026-07-12 기준, 관찰 기간 내 변동 없음 — 출처: ECOS)</w:t>
      </w:r>
    </w:p>
    <w:p>
      <w:pPr>
        <w:pStyle w:val="ListParagraph"/>
        <w:numPr>
          <w:ilvl w:val="0"/>
          <w:numId w:val="1"/>
        </w:numPr>
        <w:jc w:val="both"/>
      </w:pPr>
      <w:r>
        <w:rPr>
          <w:b/>
        </w:rPr>
        <w:t xml:space="preserve">발화 신호</w:t>
      </w:r>
      <w:r>
        <w:t xml:space="preserve">: 외부 신호 1건 (E4 유동성 하락)</w:t>
      </w:r>
    </w:p>
    <w:p>
      <w:pPr>
        <w:pStyle w:val="Heading1"/>
      </w:pPr>
      <w:r>
        <w:rPr>
          <w:b/>
          <w:color w:val="1B2A4A"/>
        </w:rPr>
        <w:t xml:space="preserve">리스크 1. 유동성 하락 — 유동비율 2년 연속 하락, 단기지급능력 기준선 이탈</w:t>
      </w:r>
    </w:p>
    <w:p>
      <w:pPr>
        <w:pStyle w:val="Heading2"/>
      </w:pPr>
      <w:r>
        <w:rPr>
          <w:b/>
          <w:color w:val="1B2A4A"/>
        </w:rPr>
        <w:t xml:space="preserve">결론</w:t>
      </w:r>
    </w:p>
    <w:p>
      <w:pPr>
        <w:jc w:val="both"/>
      </w:pPr>
      <w:r>
        <w:t xml:space="preserve">유동비율이 2개 연도 연속 하락해 최근 71.1%까지 내려왔습니다. 유동부채 대비 유동자산이 약 7할 수준이라는 뜻으로, 향후 12개월 내 만기가 도래하는 부채를 유동자산만으로는 전액 감당하기 어려운 구간에 진입했습니다.</w:t>
      </w:r>
    </w:p>
    <w:p>
      <w:pPr>
        <w:pStyle w:val="Heading2"/>
      </w:pPr>
      <w:r>
        <w:rPr>
          <w:b/>
          <w:color w:val="1B2A4A"/>
        </w:rPr>
        <w:t xml:space="preserve">근거 (수치 + 출처)</w:t>
      </w:r>
    </w:p>
    <w:p>
      <w:pPr>
        <w:pStyle w:val="ListParagraph"/>
        <w:numPr>
          <w:ilvl w:val="0"/>
          <w:numId w:val="1"/>
        </w:numPr>
        <w:jc w:val="both"/>
      </w:pPr>
      <w:r>
        <w:t xml:space="preserve">유동비율 추이: </w:t>
      </w:r>
      <w:r>
        <w:rPr>
          <w:b/>
        </w:rPr>
        <w:t xml:space="preserve">131.9% → 85% → 71.1%</w:t>
      </w:r>
      <w:r>
        <w:t xml:space="preserve"> — 2년 연속 하락 (출처: DART 공시 연결재무제표 파생 계산, 진단 엔진 E4)</w:t>
      </w:r>
    </w:p>
    <w:p>
      <w:pPr>
        <w:pStyle w:val="ListParagraph"/>
        <w:numPr>
          <w:ilvl w:val="0"/>
          <w:numId w:val="1"/>
        </w:numPr>
        <w:jc w:val="both"/>
      </w:pPr>
      <w:r>
        <w:t xml:space="preserve">판정 기준: 하한 100% 미만 + 주의 구간 130% 미만 + 연속 하락 — 세 조건 모두 해당</w:t>
      </w:r>
    </w:p>
    <w:p>
      <w:pPr>
        <w:pStyle w:val="Heading2"/>
      </w:pPr>
      <w:r>
        <w:rPr>
          <w:b/>
          <w:color w:val="1B2A4A"/>
        </w:rPr>
        <w:t xml:space="preserve">왜 문제인가 (인과 사슬)</w:t>
      </w:r>
    </w:p>
    <w:p>
      <w:pPr>
        <w:jc w:val="both"/>
      </w:pPr>
      <w:r>
        <w:t xml:space="preserve">유동비율 하락이 일회성이 아니라 2년 연속 추세라는 점이 핵심입니다. 추세적 하락은 단기부채가 구조적으로 쌓이고 있거나 유동자산(현금·채권·재고)이 구조적으로 줄고 있다는 신호이며, 어느 쪽이든 시간이 갈수록 회사의 자금 운신 폭을 좁힙니다. 유동비율이 100%를 밑돌면 단기부채 상환이 신규 조달(차환)에 의존하게 되고, 차환 의존이 커진 상태에서 금융기관의 한도 축소·조건 강화 같은 외부 변수가 겹치면 영업이 정상이어도 지급 일정에 차질이 생길 수 있습니다. 즉 이 신호는 "지금 부도 위험"이 아니라 </w:t>
      </w:r>
      <w:r>
        <w:rPr>
          <w:b/>
        </w:rPr>
        <w:t xml:space="preserve">"자금 조달 환경 변화에 대한 완충력이 얇아지고 있다"</w:t>
      </w:r>
      <w:r>
        <w:t xml:space="preserve">는 경고입니다.</w:t>
      </w:r>
    </w:p>
    <w:p>
      <w:pPr>
        <w:pStyle w:val="Heading2"/>
      </w:pPr>
      <w:r>
        <w:rPr>
          <w:b/>
          <w:color w:val="1B2A4A"/>
        </w:rPr>
        <w:t xml:space="preserve">확신도</w:t>
      </w:r>
    </w:p>
    <w:p>
      <w:pPr>
        <w:jc w:val="both"/>
      </w:pPr>
      <w:r>
        <w:rPr>
          <w:b/>
        </w:rPr>
        <w:t xml:space="preserve">확인됨</w:t>
      </w:r>
      <w:r>
        <w:t xml:space="preserve"> (유동비율 수치와 2년 연속 하락 추세는 공시 재무제표에서 결정론적으로 파생된 사실) — 다만 하락의 *원인*(단기차입 증가인지, 유동자산 소진인지, 부채 만기 구조 재편인지)은 아직 가설 단계입니다.</w:t>
      </w:r>
    </w:p>
    <w:p>
      <w:pPr>
        <w:pStyle w:val="Heading2"/>
      </w:pPr>
      <w:r>
        <w:rPr>
          <w:b/>
          <w:color w:val="1B2A4A"/>
        </w:rPr>
        <w:t xml:space="preserve">판별 테스트 (다음 확인으로 가설을 좁히는 방법)</w:t>
      </w:r>
    </w:p>
    <w:p>
      <w:pPr>
        <w:jc w:val="both"/>
      </w:pPr>
      <w:r>
        <w:t xml:space="preserve">1. </w:t>
      </w:r>
      <w:r>
        <w:rPr>
          <w:b/>
        </w:rPr>
        <w:t xml:space="preserve">단기차입 상환 스케줄</w:t>
      </w:r>
      <w:r>
        <w:t xml:space="preserve"> 확인 — 향후 12개월 만기 도래액이 월별로 어떻게 분포하는지, 특정 분기에 몰려 있는지.</w:t>
      </w:r>
    </w:p>
    <w:p>
      <w:pPr>
        <w:jc w:val="both"/>
      </w:pPr>
      <w:r>
        <w:t xml:space="preserve">2. </w:t>
      </w:r>
      <w:r>
        <w:rPr>
          <w:b/>
        </w:rPr>
        <w:t xml:space="preserve">미사용 여신한도</w:t>
      </w:r>
      <w:r>
        <w:t xml:space="preserve">(재무제표 주석) 확인 — 표면 유동비율이 낮아도 즉시 인출 가능한 한도가 충분하면 실질 완충력은 다름.</w:t>
      </w:r>
    </w:p>
    <w:p>
      <w:pPr>
        <w:jc w:val="both"/>
      </w:pPr>
      <w:r>
        <w:t xml:space="preserve">3. </w:t>
      </w:r>
      <w:r>
        <w:rPr>
          <w:b/>
        </w:rPr>
        <w:t xml:space="preserve">현금성자산 대비 단기부채</w:t>
      </w:r>
      <w:r>
        <w:t xml:space="preserve"> 비율 산출 — 재고·채권을 제외한 최협의 지급능력 점검.</w:t>
      </w:r>
    </w:p>
    <w:p>
      <w:pPr>
        <w:jc w:val="both"/>
      </w:pPr>
      <w:r>
        <w:t xml:space="preserve">4. 다음 분기보고서에서 유동비율이 반등하는지 관찰 — 반등하면 일시적 만기 구조 문제, 계속 하락하면 구조적 문제로 판별.</w:t>
      </w:r>
    </w:p>
    <w:p>
      <w:pPr>
        <w:pStyle w:val="Heading2"/>
      </w:pPr>
      <w:r>
        <w:rPr>
          <w:b/>
          <w:color w:val="1B2A4A"/>
        </w:rPr>
        <w:t xml:space="preserve">권고 조치</w:t>
      </w:r>
    </w:p>
    <w:p>
      <w:pPr>
        <w:pStyle w:val="ListParagraph"/>
        <w:numPr>
          <w:ilvl w:val="0"/>
          <w:numId w:val="1"/>
        </w:numPr>
        <w:jc w:val="both"/>
      </w:pPr>
      <w:r>
        <w:rPr>
          <w:b/>
        </w:rPr>
        <w:t xml:space="preserve">즉시(2주 내)</w:t>
      </w:r>
      <w:r>
        <w:t xml:space="preserve">: CFO에게 12개월 상환 스케줄과 미사용 여신한도 현황 보고를 지시하고, 만기 집중 구간이 있으면 선제 차환 협상을 시작하십시오.</w:t>
      </w:r>
    </w:p>
    <w:p>
      <w:pPr>
        <w:pStyle w:val="ListParagraph"/>
        <w:numPr>
          <w:ilvl w:val="0"/>
          <w:numId w:val="1"/>
        </w:numPr>
        <w:jc w:val="both"/>
      </w:pPr>
      <w:r>
        <w:rPr>
          <w:b/>
        </w:rPr>
        <w:t xml:space="preserve">단기(분기 내)</w:t>
      </w:r>
      <w:r>
        <w:t xml:space="preserve">: 운전자본 회수 사이클(채권 회수·재고 소진) 점검으로 유동자산의 현금 전환 속도를 확인하십시오. 매출이 성장하는 국면일수록 운전자본이 현금을 흡수하기 쉬우므로, 성장 계획과 자금 계획을 같은 테이블에서 검토하는 것이 필요합니다.</w:t>
      </w:r>
    </w:p>
    <w:p>
      <w:pPr>
        <w:pStyle w:val="ListParagraph"/>
        <w:numPr>
          <w:ilvl w:val="0"/>
          <w:numId w:val="1"/>
        </w:numPr>
        <w:jc w:val="both"/>
      </w:pPr>
      <w:r>
        <w:rPr>
          <w:b/>
        </w:rPr>
        <w:t xml:space="preserve">이사회 안건화</w:t>
      </w:r>
      <w:r>
        <w:t xml:space="preserve">: 유동비율 하한선(예: 100%)을 내부 조기경보 지표로 설정하고, 하회 시 자동으로 자금 대책 보고가 올라오는 체계를 권고합니다.</w:t>
      </w:r>
    </w:p>
    <w:p>
      <w:pPr>
        <w:pStyle w:val="Heading1"/>
      </w:pPr>
      <w:r>
        <w:rPr>
          <w:b/>
          <w:color w:val="1B2A4A"/>
        </w:rPr>
        <w:t xml:space="preserve">미발화 신호 요약 (리스크 아님)</w:t>
      </w:r>
    </w:p>
    <w:p>
      <w:pPr>
        <w:pBdr>
          <w:left w:val="single" w:sz="24" w:space="8" w:color="D04A02"/>
        </w:pBdr>
        <w:shd w:val="clear" w:color="auto" w:fill="FBF4EE"/>
        <w:spacing w:before="60" w:after="120" w:line="276" w:lineRule="auto"/>
        <w:ind w:left="284" w:right="284"/>
        <w:jc w:val="both"/>
      </w:pPr>
      <w:r>
        <w:t xml:space="preserve">다음 축은 모두 평가 가능했으나 </w:t>
      </w:r>
      <w:r>
        <w:rPr>
          <w:b/>
        </w:rPr>
        <w:t xml:space="preserve">임계값 미달로 미발화</w:t>
      </w:r>
      <w:r>
        <w:t xml:space="preserve">했습니다. 리스크로 취급하지 않습니다.</w:t>
      </w:r>
    </w:p>
    <w:p>
      <w:pPr>
        <w:pStyle w:val="ListParagraph"/>
        <w:numPr>
          <w:ilvl w:val="0"/>
          <w:numId w:val="1"/>
        </w:numPr>
        <w:shd w:val="clear" w:color="auto" w:fill="FBF4EE"/>
        <w:jc w:val="both"/>
      </w:pPr>
      <w:r>
        <w:rPr>
          <w:b/>
        </w:rPr>
        <w:t xml:space="preserve">E1 수익-채권 괴리</w:t>
      </w:r>
      <w:r>
        <w:t xml:space="preserve">: 미발화 — 매출 성장 대비 채권이 오히려 감소하는 방향으로, 괴리 조건에 해당하지 않았습니다.</w:t>
      </w:r>
    </w:p>
    <w:p>
      <w:pPr>
        <w:pStyle w:val="ListParagraph"/>
        <w:numPr>
          <w:ilvl w:val="0"/>
          <w:numId w:val="1"/>
        </w:numPr>
        <w:shd w:val="clear" w:color="auto" w:fill="FBF4EE"/>
        <w:jc w:val="both"/>
      </w:pPr>
      <w:r>
        <w:rPr>
          <w:b/>
        </w:rPr>
        <w:t xml:space="preserve">E2 재고 적체</w:t>
      </w:r>
      <w:r>
        <w:t xml:space="preserve">: 미발화 — 재고가 늘어나는 방향이 아니어서 적체 조건에 해당하지 않았습니다.</w:t>
      </w:r>
    </w:p>
    <w:p>
      <w:pPr>
        <w:pStyle w:val="ListParagraph"/>
        <w:numPr>
          <w:ilvl w:val="0"/>
          <w:numId w:val="1"/>
        </w:numPr>
        <w:shd w:val="clear" w:color="auto" w:fill="FBF4EE"/>
        <w:jc w:val="both"/>
      </w:pPr>
      <w:r>
        <w:rPr>
          <w:b/>
        </w:rPr>
        <w:t xml:space="preserve">E3 차입 확대·이자 부담</w:t>
      </w:r>
      <w:r>
        <w:t xml:space="preserve">: 미발화 — 차입 증가율이 임계값에 미달했습니다.</w:t>
      </w:r>
    </w:p>
    <w:p>
      <w:pPr>
        <w:pStyle w:val="ListParagraph"/>
        <w:numPr>
          <w:ilvl w:val="0"/>
          <w:numId w:val="1"/>
        </w:numPr>
        <w:shd w:val="clear" w:color="auto" w:fill="FBF4EE"/>
        <w:jc w:val="both"/>
      </w:pPr>
      <w:r>
        <w:rPr>
          <w:b/>
        </w:rPr>
        <w:t xml:space="preserve">E5 공시 행간</w:t>
      </w:r>
      <w:r>
        <w:t xml:space="preserve">: 미발화 — 관찰 창 내 정정·해명 공시 패턴이 임계값에 미달했습니다.</w:t>
      </w:r>
    </w:p>
    <w:p>
      <w:pPr>
        <w:pStyle w:val="ListParagraph"/>
        <w:numPr>
          <w:ilvl w:val="0"/>
          <w:numId w:val="1"/>
        </w:numPr>
        <w:shd w:val="clear" w:color="auto" w:fill="FBF4EE"/>
        <w:jc w:val="both"/>
      </w:pPr>
      <w:r>
        <w:rPr>
          <w:b/>
        </w:rPr>
        <w:t xml:space="preserve">E8 발생액 품질</w:t>
      </w:r>
      <w:r>
        <w:t xml:space="preserve">: 미발화 — 발생액 비율이 임계값 이내였고 지속 괴리 조건도 성립하지 않았습니다.</w:t>
      </w:r>
    </w:p>
    <w:p>
      <w:pPr>
        <w:pBdr>
          <w:left w:val="single" w:sz="24" w:space="8" w:color="D04A02"/>
        </w:pBdr>
        <w:shd w:val="clear" w:color="auto" w:fill="FBF4EE"/>
        <w:spacing w:before="60" w:after="120" w:line="276" w:lineRule="auto"/>
        <w:ind w:left="284" w:right="284"/>
        <w:jc w:val="both"/>
      </w:pPr>
      <w:r>
        <w:t xml:space="preserve">다만 E1·E3·E8 의 개별 구성 항목 중 일부(영업현금흐름 관련 지표, 이자보상 관련 지표)는 신호 자체는 미발화이더라도 E4 유동성 신호의 판별 테스트 과정에서 함께 들여다볼 가치가 있습니다 — 유동성 하락의 원인 규명과 맞닿아 있기 때문입니다.</w:t>
      </w:r>
    </w:p>
    <w:p>
      <w:pPr>
        <w:pStyle w:val="Heading1"/>
      </w:pPr>
      <w:r>
        <w:rPr>
          <w:b/>
          <w:color w:val="1B2A4A"/>
        </w:rPr>
        <w:t xml:space="preserve">확인 범위와 한계</w:t>
      </w:r>
    </w:p>
    <w:p>
      <w:pPr>
        <w:pStyle w:val="ListParagraph"/>
        <w:numPr>
          <w:ilvl w:val="0"/>
          <w:numId w:val="1"/>
        </w:numPr>
        <w:jc w:val="both"/>
      </w:pPr>
      <w:r>
        <w:t xml:space="preserve">이 브리핑은 </w:t>
      </w:r>
      <w:r>
        <w:rPr>
          <w:b/>
        </w:rPr>
        <w:t xml:space="preserve">DART 공시 재무제표(2025 CFS)와 한국은행 ECOS 거시지표</w:t>
      </w:r>
      <w:r>
        <w:t xml:space="preserve">에서 결정론적으로 파생된 신호에 기반합니다. 내부 회계 데이터(거래처별 채권·원가 상세), 뉴스·평판 축, 시장(주가) 축, 비정형 문서 축은 이번 진단에 포함되지 않았습니다.</w:t>
      </w:r>
    </w:p>
    <w:p>
      <w:pPr>
        <w:pStyle w:val="ListParagraph"/>
        <w:numPr>
          <w:ilvl w:val="0"/>
          <w:numId w:val="1"/>
        </w:numPr>
        <w:jc w:val="both"/>
      </w:pPr>
      <w:r>
        <w:t xml:space="preserve">발화한 신호는 "추가 확인이 필요한 이상 징후"이지 회계 처리의 적정성에 대한 판단이 아닙니다. 유동비율 하락의 실제 원인과 심각도는 위 판별 테스트(상환 스케줄·여신한도·현금성자산 점검)를 거쳐야 확정할 수 있습니다.</w:t>
      </w:r>
    </w:p>
    <w:p>
      <w:pPr>
        <w:pStyle w:val="ListParagraph"/>
        <w:numPr>
          <w:ilvl w:val="0"/>
          <w:numId w:val="1"/>
        </w:numPr>
        <w:jc w:val="both"/>
      </w:pPr>
      <w:r>
        <w:t xml:space="preserve">미발화 신호는 "해당 축에서 임계값을 넘는 징후가 관찰되지 않았다"는 의미이며, 리스크의 부재를 보증하지 않습니다. 특히 내부 데이터 없이 수행된 기본 모드 진단이므로, 거래처 집중도·원가 구조 등 상세 축은 별도 진단이 필요합니다.</w:t>
      </w:r>
    </w:p>
    <w:p>
      <w:pPr>
        <w:pStyle w:val="ListParagraph"/>
        <w:numPr>
          <w:ilvl w:val="0"/>
          <w:numId w:val="1"/>
        </w:numPr>
        <w:jc w:val="both"/>
      </w:pPr>
      <w:r>
        <w:t xml:space="preserve">본 문서의 수치는 진단 시점의 공시 데이터 기준이며, 이후 정정 공시가 있을 경우 재산출이 필요합니다.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(주)블루엠텍</dc:title>
  <dc:creator>Trusted CEO Agent</dc:creator>
  <cp:lastModifiedBy>Trusted CEO Agent</cp:lastModifiedBy>
  <dcterms:created xsi:type="dcterms:W3CDTF">2026-07-14T00:00:00Z</dcterms:created>
  <dcterms:modified xsi:type="dcterms:W3CDTF">2026-07-14T00:00:00Z</dcterms:modified>
</cp:coreProperties>
</file>