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샘표(주) CEO 리스크 브리핑 — 2025 연결(CFS) 기준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</w:t>
      </w:r>
      <w:r>
        <w:t xml:space="preserve">: 샘표(주) (종목코드 007540, 사업자등록번호 217-81-00359, 대표이사 박진선)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기준</w:t>
      </w:r>
      <w:r>
        <w:t xml:space="preserve">: 2025 사업연도 연결재무제표 + 최근 90일 공시 창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관측 구간 내 변동 없음 — 출처: ECOS)</w:t>
      </w:r>
    </w:p>
    <w:p>
      <w:pPr>
        <w:pStyle w:val="Heading1"/>
      </w:pPr>
      <w:r>
        <w:rPr>
          <w:b/>
          <w:color w:val="1B2A4A"/>
        </w:rPr>
        <w:t xml:space="preserve">종합 판정</w:t>
      </w:r>
    </w:p>
    <w:p>
      <w:pPr>
        <w:jc w:val="both"/>
      </w:pPr>
      <w:r>
        <w:t xml:space="preserve">이번 진단 창에서 </w:t>
      </w:r>
      <w:r>
        <w:rPr>
          <w:b/>
        </w:rPr>
        <w:t xml:space="preserve">임계값을 넘어 발화한 리스크 신호는 없습니다 (PRESENT 0건 / 평가 가능 6축 전부 판정 수행)</w:t>
      </w:r>
      <w:r>
        <w:t xml:space="preserve">.</w:t>
      </w:r>
    </w:p>
    <w:p>
      <w:pPr>
        <w:jc w:val="both"/>
      </w:pPr>
      <w:r>
        <w:t xml:space="preserve">외부 공시 기반 6개 축 — 수익-채권 괴리(E1), 재고 적체(E2), 차입·이자 부담(E3), 유동성 하락(E4), 공시 행간(E5), 발생액 품질(E8) — 을 모두 평가했으며, 전 축이 임계값 미달로 미발화했습니다. 따라서 본 브리핑에는 서명을 요구하는 개별 리스크 항목이 없으며, 아래는 미발화 상태의 정성 요약과 상시 점검 권고입니다.</w:t>
      </w:r>
    </w:p>
    <w:p>
      <w:pPr>
        <w:pStyle w:val="Heading1"/>
      </w:pPr>
      <w:r>
        <w:rPr>
          <w:b/>
          <w:color w:val="1B2A4A"/>
        </w:rPr>
        <w:t xml:space="preserve">미발화 신호 요약 (정성 서술)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축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판정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정성 요약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 수익-채권 괴리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매출채권 증가가 매출 성장을 앞지르는 패턴이 관측되지 않았고, 영업이익의 현금 전환도 임계 기준을 상회하는 방향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 재고 적체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재고 증가율이 매출 대비 과잉 축적 임계값에 미달 — 오히려 축소 방향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 차입·이자 부담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차입 규모는 감소 방향이며 이자보상 여력도 개선 방향으로, 확대·부담 임계 조건에 해당 없음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 유동성 하락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유동비율이 하락 추세 조건(2년 연속 하락)과 하한선 조건 모두에 해당하지 않고 개선 방향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 공시 행간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최근 90일 창에서 정정·해명 공시 패턴이 임계 건수에 미달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E8 발생액 품질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미발화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이익 대비 발생액 비중이 임계 상한 이내이고, 이익-현금 괴리의 지속 조건에도 해당 없음</w:t>
            </w:r>
          </w:p>
        </w:tc>
      </w:tr>
    </w:tbl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&gt; 미발화 신호는 리스크가 아니며, 위 서술은 "이번 창에서 임계값을 넘지 않았다"는 판정 결과의 요약입니다. 개별 근거 수치는 진단 패킷에 보존되어 있습니다.</w:t>
      </w:r>
    </w:p>
    <w:p>
      <w:pPr>
        <w:pStyle w:val="Heading1"/>
      </w:pPr>
      <w:r>
        <w:rPr>
          <w:b/>
          <w:color w:val="1B2A4A"/>
        </w:rPr>
        <w:t xml:space="preserve">상시 점검 권고 (리스크 아님 — 다음 진단 주기 대비)</w:t>
      </w:r>
    </w:p>
    <w:p>
      <w:pPr>
        <w:jc w:val="both"/>
      </w:pPr>
      <w:r>
        <w:t xml:space="preserve">발화 신호가 없더라도, 다음 항목은 분기 단위로 낮은 비용으로 확인해 두시면 신호 체계의 조기 감도가 유지됩니다.</w:t>
      </w:r>
    </w:p>
    <w:p>
      <w:pPr>
        <w:jc w:val="both"/>
      </w:pPr>
      <w:r>
        <w:t xml:space="preserve">1. </w:t>
      </w:r>
      <w:r>
        <w:rPr>
          <w:b/>
        </w:rPr>
        <w:t xml:space="preserve">분기보고서 발행 시 재진단</w:t>
      </w:r>
      <w:r>
        <w:t xml:space="preserve"> — 본 판정은 연결 연차 데이터 기준이므로, 분기 데이터가 나오면 같은 6축을 재실행해 추세 전환 여부를 확인.</w:t>
      </w:r>
    </w:p>
    <w:p>
      <w:pPr>
        <w:jc w:val="both"/>
      </w:pPr>
      <w:r>
        <w:t xml:space="preserve">2. </w:t>
      </w:r>
      <w:r>
        <w:rPr>
          <w:b/>
        </w:rPr>
        <w:t xml:space="preserve">매출채권 연령·대손충당금 설정률 추이</w:t>
      </w:r>
      <w:r>
        <w:t xml:space="preserve"> — E1이 미발화 상태를 유지하는지 확인하는 가장 저렴한 선행 지표.</w:t>
      </w:r>
    </w:p>
    <w:p>
      <w:pPr>
        <w:jc w:val="both"/>
      </w:pPr>
      <w:r>
        <w:t xml:space="preserve">3. </w:t>
      </w:r>
      <w:r>
        <w:rPr>
          <w:b/>
        </w:rPr>
        <w:t xml:space="preserve">차입금 만기 구조·금리 구성(주석)</w:t>
      </w:r>
      <w:r>
        <w:t xml:space="preserve"> — 기준금리가 현 수준에서 움직일 경우 E3 재평가의 입력이 됨.</w:t>
      </w:r>
    </w:p>
    <w:p>
      <w:pPr>
        <w:jc w:val="both"/>
      </w:pPr>
      <w:r>
        <w:t xml:space="preserve">4. </w:t>
      </w:r>
      <w:r>
        <w:rPr>
          <w:b/>
        </w:rPr>
        <w:t xml:space="preserve">내부 데이터 축 개방 검토</w:t>
      </w:r>
      <w:r>
        <w:t xml:space="preserve"> — 이번 진단은 공시·거시 데이터만 사용한 기본 모드였음. 내부 CSV(거래처 원장·원가 데이터)를 연결하면 거래처 집중, 원가 왜곡, 공시-장부 대사 등 외부 공시로는 보이지 않는 축이 추가 평가 가능.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공시(2025 사업연도 연결재무제표, 최근 90일 공시 목록)와 한국은행 ECOS 거시지표에서 </w:t>
      </w:r>
      <w:r>
        <w:rPr>
          <w:b/>
        </w:rPr>
        <w:t xml:space="preserve">결정론적으로 파생된 신호 판정</w:t>
      </w:r>
      <w:r>
        <w:t xml:space="preserve">에 기반하며, 판정 대상은 외부 축 6개(E1~E5·E8)입니다.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미발화는 "리스크 부재의 증명"이 아닙니다.</w:t>
      </w:r>
      <w:r>
        <w:t xml:space="preserve"> 임계값 기반 탐지는 임계값 이하에서 진행 중인 완만한 악화, 연결 범위 밖 거래, 공시에 반영되지 않은 우발 사항을 포착하지 못합니다.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뉴스·평판 축, 시장(주가·시가총액) 축, 비정형 문서 축, 내부 CSV 축은 이번 진단에 </w:t>
      </w:r>
      <w:r>
        <w:rPr>
          <w:b/>
        </w:rPr>
        <w:t xml:space="preserve">포함되지 않았습니다</w:t>
      </w:r>
      <w:r>
        <w:t xml:space="preserve">. 해당 축에서 별도의 신호가 존재할 가능성은 본 브리핑의 판단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신호 판정에 사용된 임계값은 코스피 비금융 대형주 코호트 발화율로 캘리브레이션된 기본값이며, 업종 프리셋은 적용되지 않았습니다. 식품 업종 특성(계절 재고, 원재료 시황)에 맞춘 프리셋 적용 시 판정 감도가 달라질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문서는 감사 의견이나 회계 적정성에 대한 판단이 아니며, 공시 데이터 행간의 경영 점검 신호를 요약한 참고 자료입니다.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샘표(주) CEO 리스크 브리핑 — 2025 연결(CFS) 기준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