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수신  </w:t>
      </w:r>
      <w:r>
        <w:rPr>
          <w:color w:val="595959"/>
          <w:sz w:val="20"/>
          <w:szCs w:val="20"/>
        </w:rPr>
        <w:t xml:space="preserve">솔트웨어 주식회사 이정근 대표이사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 </w:t>
      </w:r>
      <w:r>
        <w:rPr>
          <w:color w:val="595959"/>
          <w:sz w:val="20"/>
          <w:szCs w:val="20"/>
        </w:rPr>
        <w:t xml:space="preserve">솔트웨어 주식회사 (종목코드 328380, 사업자등록번호 321-81-01680)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기준  </w:t>
      </w:r>
      <w:r>
        <w:rPr>
          <w:color w:val="595959"/>
          <w:sz w:val="20"/>
          <w:szCs w:val="20"/>
        </w:rPr>
        <w:t xml:space="preserve">2025 사업연도 연결재무제표(CFS), DART 공시 파생 신호 + 한국은행 거시지표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작성  </w:t>
      </w:r>
      <w:r>
        <w:rPr>
          <w:color w:val="595959"/>
          <w:sz w:val="20"/>
          <w:szCs w:val="20"/>
        </w:rPr>
        <w:t xml:space="preserve">trusted-ceo-agent 진단 파이프라인 (외부 공시 축 — 발화 신호 2건)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매출채권 급증과 이익의 현금화 저조 (E1)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상위 거래처별 회수 조건·연체 현황을 CFO에게 30일 내 보고받고, 결제조건이 변경된 계약이 있다면 그 사업적 대가(마진·물량)와 현금 비용을 비교 검토하십시오.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R2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차입 확대에 따른 이자 부담 구조 변화 (E3)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신규 차입의 자금 용처를 현금흐름표와 대조해 "차입 → 운전자본" 경로인지 확인하고, 그렇다면 차입 한도 소진 전에 채권 회수 개선(리스크 1 조치)을 선행 과제로 두십시오.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Heading1"/>
      </w:pPr>
      <w:r>
        <w:rPr>
          <w:b/>
          <w:color w:val="1B2A4A"/>
        </w:rPr>
        <w:t xml:space="preserve">리스크 1 — 매출채권 급증과 이익의 현금화 저조 (E1)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매출은 완만하게 성장했으나 매출채권이 그보다 훨씬 빠르게 불어나, 장부상 이익이 현금으로 회수되지 않고 채권 형태로 잠겨 있습니다.</w:t>
      </w:r>
    </w:p>
    <w:p>
      <w:pPr>
        <w:jc w:val="both"/>
      </w:pPr>
      <w:r>
        <w:rPr>
          <w:b/>
        </w:rPr>
        <w:t xml:space="preserve">근거 (수치·출처)</w:t>
      </w:r>
      <w:r>
        <w:t xml:space="preserve">: DART 2025 연결재무제표 기준, 매출 성장률 </w:t>
      </w:r>
      <w:r>
        <w:rPr>
          <w:b/>
        </w:rPr>
        <w:t xml:space="preserve">10%</w:t>
      </w:r>
      <w:r>
        <w:t xml:space="preserve"> 대비 매출채권 증가율 </w:t>
      </w:r>
      <w:r>
        <w:rPr>
          <w:b/>
        </w:rPr>
        <w:t xml:space="preserve">131.4%</w:t>
      </w:r>
      <w:r>
        <w:t xml:space="preserve"> — 괴리 </w:t>
      </w:r>
      <w:r>
        <w:rPr>
          <w:b/>
        </w:rPr>
        <w:t xml:space="preserve">121.4%p</w:t>
      </w:r>
      <w:r>
        <w:t xml:space="preserve">(임계값 15%p의 8배 수준). 영업활동현금흐름/영업이익 비율은 </w:t>
      </w:r>
      <w:r>
        <w:rPr>
          <w:b/>
        </w:rPr>
        <w:t xml:space="preserve">0.12</w:t>
      </w:r>
      <w:r>
        <w:t xml:space="preserve">로 하한 0.8을 크게 밑돕니다.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매출이 10% 늘 때 채권이 131.4% 늘었다는 것은, 신규 매출의 상당 부분이 대금 회수 없이 외상으로 잡혔거나 기존 채권의 회수가 지연되고 있다는 뜻입니다. 이 상태가 이어지면 손익계산서의 이익과 무관하게 운전자본이 현금을 빨아들이고 → 회수 지연 채권은 대손 위험으로 전이되며 → 부족해진 현금은 외부 차입으로 메우게 됩니다(리스크 2와 연결). 즉 "이익이 나는데 현금이 마르는" 구조가 이미 수치로 나타나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t xml:space="preserve">괴리 자체는 </w:t>
      </w:r>
      <w:r>
        <w:rPr>
          <w:b/>
        </w:rPr>
        <w:t xml:space="preserve">확인됨</w:t>
      </w:r>
      <w:r>
        <w:t xml:space="preserve">(공시 수치 파생). 다만 원인이 회수 지연인지, 특정 대형 계약의 결제조건 변화인지, 수익 인식 시점의 문제인지는 </w:t>
      </w:r>
      <w:r>
        <w:rPr>
          <w:b/>
        </w:rPr>
        <w:t xml:space="preserve">가설</w:t>
      </w:r>
      <w:r>
        <w:t xml:space="preserve"> 단계입니다.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분기보고서로 채권 증가가 특정 분기에 집중됐는지 시점을 좁혀 주십시오 — 특정 분기 집중이면 개별 계약 요인, 전 분기 고른 증가면 구조적 회수 악화 쪽 가설이 강화됩니다.</w:t>
      </w:r>
    </w:p>
    <w:p>
      <w:pPr>
        <w:jc w:val="both"/>
      </w:pPr>
      <w:r>
        <w:t xml:space="preserve">2. 주석의 매출채권 연령 분석에서 6개월 초과 채권 비중 추이를 확인해 주십시오.</w:t>
      </w:r>
    </w:p>
    <w:p>
      <w:pPr>
        <w:jc w:val="both"/>
      </w:pPr>
      <w:r>
        <w:t xml:space="preserve">3. 대손충당금 설정률이 채권 증가 속도를 따라가는지 대조해 주십시오 — 채권만 늘고 설정률이 제자리면 이익의 질 문제로 번집니다.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상위 거래처별 회수 조건·연체 현황을 CFO에게 30일 내 보고받고, 결제조건이 변경된 계약이 있다면 그 사업적 대가(마진·물량)와 현금 비용을 비교 검토하십시오.</w:t>
      </w:r>
    </w:p>
    <w:p>
      <w:pPr>
        <w:pStyle w:val="Heading1"/>
      </w:pPr>
      <w:r>
        <w:rPr>
          <w:b/>
          <w:color w:val="1B2A4A"/>
        </w:rPr>
        <w:t xml:space="preserve">리스크 2 — 차입 확대에 따른 이자 부담 구조 변화 (E3)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차입금이 1년 새 큰 폭으로 늘어, 영업이 흔들릴 경우 이자 부담이 손익을 압박하는 레버리지 구조로 이동하고 있습니다.</w:t>
      </w:r>
    </w:p>
    <w:p>
      <w:pPr>
        <w:jc w:val="both"/>
      </w:pPr>
      <w:r>
        <w:rPr>
          <w:b/>
        </w:rPr>
        <w:t xml:space="preserve">근거 (수치·출처)</w:t>
      </w:r>
      <w:r>
        <w:t xml:space="preserve">: DART 2025 연결재무제표 기준, 차입금은 조 단위 미만 규모(0조 원대)에서 </w:t>
      </w:r>
      <w:r>
        <w:rPr>
          <w:b/>
        </w:rPr>
        <w:t xml:space="preserve">80%</w:t>
      </w:r>
      <w:r>
        <w:t xml:space="preserve"> 증가 — 임계값 30%를 크게 상회합니다. 이자보상배율은 </w:t>
      </w:r>
      <w:r>
        <w:rPr>
          <w:b/>
        </w:rPr>
        <w:t xml:space="preserve">-305.1→29.1배(영업이익/이자지급)</w:t>
      </w:r>
      <w:r>
        <w:t xml:space="preserve"> 로, 전기 영업 적자 국면에서 당기 흑자 전환하며 현재 지급 여력 자체는 확보된 상태입니다. 거시 환경은 한국은행 기준금리 </w:t>
      </w:r>
      <w:r>
        <w:rPr>
          <w:b/>
        </w:rPr>
        <w:t xml:space="preserve">2.5%</w:t>
      </w:r>
      <w:r>
        <w:t xml:space="preserve">(2026-07-12, 최근 변동 없음)로 우호적입니다.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차입 확대 자체보다, 그 시점이 문제입니다. 리스크 1에서 본 대로 영업이익의 현금화가 저조한 국면에서 차입이 80% 늘었다는 것은, 늘어난 차입이 성장 투자가 아니라 회수되지 않는 운전자본의 구멍을 메우는 데 쓰였을 가능성을 시사합니다. 그렇다면 채권 회수가 개선되지 않는 한 차입은 계속 늘고 → 이자 비용이 누적되며 → 이제 막 흑자 전환한 얇은 영업이익이 금리·업황 변동에 노출됩니다. 현재 이자보상배율이 양호하다는 사실이 이 구조적 방향성을 상쇄하지는 않습니다.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t xml:space="preserve">차입 증가율은 </w:t>
      </w:r>
      <w:r>
        <w:rPr>
          <w:b/>
        </w:rPr>
        <w:t xml:space="preserve">확인됨</w:t>
      </w:r>
      <w:r>
        <w:t xml:space="preserve">. 차입의 용처(운전자본 보전 vs 투자)는 </w:t>
      </w:r>
      <w:r>
        <w:rPr>
          <w:b/>
        </w:rPr>
        <w:t xml:space="preserve">가설</w:t>
      </w:r>
      <w:r>
        <w:t xml:space="preserve">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주석의 차입금 만기 구조를 확인해 주십시오 — 단기 비중이 높으면 차환 리스크가, 장기 중심이면 투자성 차입 가설이 각각 강화됩니다.</w:t>
      </w:r>
    </w:p>
    <w:p>
      <w:pPr>
        <w:jc w:val="both"/>
      </w:pPr>
      <w:r>
        <w:t xml:space="preserve">2. 변동/고정 금리 구성을 확인해 주십시오 — 변동 비중이 높을수록 금리 민감도가 커집니다.</w:t>
      </w:r>
    </w:p>
    <w:p>
      <w:pPr>
        <w:jc w:val="both"/>
      </w:pPr>
      <w:r>
        <w:t xml:space="preserve">3. 재무 약정(covenant) 조건 유무와 현재 여유폭을 점검해 주십시오.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신규 차입의 자금 용처를 현금흐름표와 대조해 "차입 → 운전자본" 경로인지 확인하고, 그렇다면 차입 한도 소진 전에 채권 회수 개선(리스크 1 조치)을 선행 과제로 두십시오.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jc w:val="both"/>
      </w:pPr>
      <w:r>
        <w:t xml:space="preserve">재고 자산 적체(E2), 유동성 하락(E4), 공시 정정·해명 패턴(E5), 발생액 품질(E8) 축은 모두 임계값 미달로 미발화했습니다. 특히 재고와 유동성 축이 조용하다는 점은, 위 두 리스크가 전사적 부실 신호라기보다 "매출채권 → 차입"이라는 특정 경로에 집중된 문제임을 시사합니다. 다만 미발화는 "이상 없음 확인"이 아니라 "현 임계값 기준 미달"의 의미입니다.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재무제표(2025, 연결)와 한국은행 거시지표에서 결정론적으로 파생된 외부 신호 2건(E1·E3)에 기반합니다. 내부 원장·거래처별 CSV, 뉴스·시장·비정형 문서 축은 이번 진단에 제공되지 않아 거래처 집중도, 원가 배부, 공시-장부 대사는 확인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 신호는 회계적 이상 징후의 "위치"를 가리킬 뿐, 원인(사업적 판단·계약 구조·회계 처리)을 특정하지 않습니다. 각 리스크의 원인 판단은 판별 테스트 수행 전까지 가설로 유지됩니다.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행간 신호(E5)의 관측 창은 최근 90일(총 공시 11건)로, 그 이전의 정정·해명 이력은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수치는 공시 원문 단위·반올림 규칙을 따르며, 조 단위 미만 금액은 "0조 원대"로 표기되어 절대 규모 해석에 주의가 필요합니다.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