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경영리스크 브리핑 — (주)유니테크노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수익-채권 괴리: 이익의 현금화가 저조합니다 (E1)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B45309"/>
                <w:sz w:val="19"/>
                <w:szCs w:val="19"/>
              </w:rPr>
              <w:t xml:space="preserve">가설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CFO에게 상위 거래처별 채권 잔액·회수 조건 변경 내역을 2주 내 보고받으시고, 회수 지연 거래처에 대한 여신 한도 재설정을 지시하십시오.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R2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유동성 하락: 유동비율이 2년 연속 급락했습니다 (E4)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1F7A33"/>
                <w:sz w:val="19"/>
                <w:szCs w:val="19"/>
              </w:rPr>
              <w:t xml:space="preserve">확인됨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13주 단위 현금흐름 예측(13-week cash forecast) 체계를 즉시 가동하시고, 주거래은행과의 여신 한도 갱신 협의를 만기 도래 전에 선제적으로 착수하십시오.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(주)유니테크노 (종목코드 241690, 사업자등록번호 603-81-42360)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공동대표</w:t>
      </w:r>
      <w:r>
        <w:t xml:space="preserve">: 이좌영, 이시은, 이민규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분석 기준</w:t>
      </w:r>
      <w:r>
        <w:t xml:space="preserve">: 2025 사업연도 연결재무제표(CFS), DART 공시 + 한국은행 ECOS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환경</w:t>
      </w:r>
      <w:r>
        <w:t xml:space="preserve">: 한국은행 기준금리 2.5% (2026-07-12 기준, 조회 구간 내 변동 없음)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발화 신호</w:t>
      </w:r>
      <w:r>
        <w:t xml:space="preserve">: 외부 신호 2건 (E1 수익-채권 괴리, E4 유동성 하락)</w:t>
      </w:r>
    </w:p>
    <w:p>
      <w:pPr>
        <w:pStyle w:val="Heading1"/>
      </w:pPr>
      <w:r>
        <w:rPr>
          <w:b/>
          <w:color w:val="1B2A4A"/>
        </w:rPr>
        <w:t xml:space="preserve">리스크 1 — 수익-채권 괴리: 이익의 현금화가 저조합니다 (E1)</w:t>
      </w:r>
    </w:p>
    <w:p>
      <w:pPr>
        <w:jc w:val="both"/>
      </w:pPr>
      <w:r>
        <w:rPr>
          <w:b/>
          <w:color w:val="1B2A4A"/>
        </w:rPr>
        <w:t xml:space="preserve">결론. </w:t>
      </w:r>
      <w:r>
        <w:t xml:space="preserve">매출은 거의 제자리인데 매출채권이 크게 늘어, 장부상 이익이 현금으로 회수되지 않고 있을 가능성이 있습니다.</w:t>
      </w:r>
    </w:p>
    <w:p>
      <w:pPr>
        <w:spacing w:before="240" w:after="80"/>
      </w:pPr>
      <w:r>
        <w:rPr>
          <w:b/>
          <w:color w:val="1B2A4A"/>
          <w:sz w:val="22"/>
          <w:szCs w:val="22"/>
        </w:rPr>
        <w:t xml:space="preserve">**근거 (수치 + 출처)**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매출 성장률 </w:t>
      </w:r>
      <w:r>
        <w:rPr>
          <w:b/>
        </w:rPr>
        <w:t xml:space="preserve">1.9%</w:t>
      </w:r>
      <w:r>
        <w:t xml:space="preserve"> vs 매출채권 증가율 </w:t>
      </w:r>
      <w:r>
        <w:rPr>
          <w:b/>
        </w:rPr>
        <w:t xml:space="preserve">19.1%</w:t>
      </w:r>
      <w:r>
        <w:t xml:space="preserve"> — 괴리 </w:t>
      </w:r>
      <w:r>
        <w:rPr>
          <w:b/>
        </w:rPr>
        <w:t xml:space="preserve">17.1%p</w:t>
      </w:r>
      <w:r>
        <w:t xml:space="preserve"> (임계값 15%p 초과) — DART 2025 연결재무제표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영업활동현금흐름/영업이익 비율 </w:t>
      </w:r>
      <w:r>
        <w:rPr>
          <w:b/>
        </w:rPr>
        <w:t xml:space="preserve">0.12</w:t>
      </w:r>
      <w:r>
        <w:t xml:space="preserve"> (하한 0.8 대비 현저히 낮음) — 같은 출처</w:t>
      </w:r>
    </w:p>
    <w:p>
      <w:pPr>
        <w:jc w:val="both"/>
      </w:pPr>
      <w:r>
        <w:rPr>
          <w:b/>
        </w:rPr>
        <w:t xml:space="preserve">왜 문제인가 (인과 사슬)</w:t>
      </w:r>
      <w:r>
        <w:t xml:space="preserve">: 매출이 늘지 않는데 채권만 쌓인다는 것은, 밀어내기식 판매·회수 조건 완화·특정 거래처의 지급 지연 중 하나가 진행되고 있을 개연성을 시사합니다. 어느 경우든 손익계산서의 이익과 실제 들어오는 현금 사이의 간극이 벌어지고, 이 간극은 운전자본 부담으로 전가되어 아래 유동성 하락(리스크 2)을 직접 악화시키는 연결 고리가 됩니다. 회수가 끝내 안 되면 대손으로 이연된 손실이 한꺼번에 인식될 수 있습니다.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</w:rPr>
        <w:t xml:space="preserve">가설</w:t>
      </w:r>
      <w:r>
        <w:t xml:space="preserve"> — 괴리의 존재는 수치로 확인되나, 원인(회수 지연인지, 인식 시점 문제인지, 일시적 대형 수주 결제 조건인지)은 미확정입니다.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jc w:val="both"/>
      </w:pPr>
      <w:r>
        <w:t xml:space="preserve">1. 분기보고서로 채권 증가가 특정 분기에 집중됐는지 시점을 좁힙니다.</w:t>
      </w:r>
    </w:p>
    <w:p>
      <w:pPr>
        <w:jc w:val="both"/>
      </w:pPr>
      <w:r>
        <w:t xml:space="preserve">2. 주석의 매출채권 연령 분석에서 90일 초과 채권 비중 추이를 확인합니다.</w:t>
      </w:r>
    </w:p>
    <w:p>
      <w:pPr>
        <w:jc w:val="both"/>
      </w:pPr>
      <w:r>
        <w:t xml:space="preserve">3. 대손충당금 설정률이 채권 증가 속도를 따라가고 있는지 대조합니다.</w:t>
      </w:r>
    </w:p>
    <w:p>
      <w:pPr>
        <w:jc w:val="both"/>
      </w:pPr>
      <w:r>
        <w:rPr>
          <w:b/>
          <w:color w:val="1B2A4A"/>
        </w:rPr>
        <w:t xml:space="preserve">권고 조치. </w:t>
      </w:r>
      <w:r>
        <w:t xml:space="preserve">CFO에게 상위 거래처별 채권 잔액·회수 조건 변경 내역을 2주 내 보고받으시고, 회수 지연 거래처에 대한 여신 한도 재설정을 지시하십시오.</w:t>
      </w:r>
    </w:p>
    <w:p>
      <w:pPr>
        <w:pStyle w:val="Heading1"/>
      </w:pPr>
      <w:r>
        <w:rPr>
          <w:b/>
          <w:color w:val="1B2A4A"/>
        </w:rPr>
        <w:t xml:space="preserve">리스크 2 — 유동성 하락: 유동비율이 2년 연속 급락했습니다 (E4)</w:t>
      </w:r>
    </w:p>
    <w:p>
      <w:pPr>
        <w:jc w:val="both"/>
      </w:pPr>
      <w:r>
        <w:rPr>
          <w:b/>
          <w:color w:val="1B2A4A"/>
        </w:rPr>
        <w:t xml:space="preserve">결론. </w:t>
      </w:r>
      <w:r>
        <w:t xml:space="preserve">단기 지급 능력이 2년에 걸쳐 계단식으로 약화되어, 현재는 유동부채가 유동자산을 상회하는 구간에 진입했습니다.</w:t>
      </w:r>
    </w:p>
    <w:p>
      <w:pPr>
        <w:spacing w:before="240" w:after="80"/>
      </w:pPr>
      <w:r>
        <w:rPr>
          <w:b/>
          <w:color w:val="1B2A4A"/>
          <w:sz w:val="22"/>
          <w:szCs w:val="22"/>
        </w:rPr>
        <w:t xml:space="preserve">**근거 (수치 + 출처)**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유동비율 </w:t>
      </w:r>
      <w:r>
        <w:rPr>
          <w:b/>
        </w:rPr>
        <w:t xml:space="preserve">204.6% → 91.8% → 60.5%</w:t>
      </w:r>
      <w:r>
        <w:t xml:space="preserve"> (2년 연속 하락, 하한 100% 미달) — DART 2025 연결재무제표</w:t>
      </w:r>
    </w:p>
    <w:p>
      <w:pPr>
        <w:jc w:val="both"/>
      </w:pPr>
      <w:r>
        <w:rPr>
          <w:b/>
        </w:rPr>
        <w:t xml:space="preserve">왜 문제인가 (인과 사슬)</w:t>
      </w:r>
      <w:r>
        <w:t xml:space="preserve">: 유동비율이 100%를 밑돈다는 것은 1년 내 갚아야 할 부채를 1년 내 현금화 가능한 자산으로 다 감당하지 못한다는 뜻입니다. 여기에 리스크 1의 현금화 저조가 겹치면, 장부상 유동자산의 상당 부분(매출채권)마저 제때 현금이 되지 않아 실질 지급 여력은 지표보다 더 취약할 수 있습니다. 이 상태에서 차환이 막히거나 대형 지출이 발생하면 자산 급매각·긴급 차입 등 불리한 조건의 자금 조달로 내몰릴 수 있습니다.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</w:rPr>
        <w:t xml:space="preserve">확인됨</w:t>
      </w:r>
      <w:r>
        <w:t xml:space="preserve"> — 2년 연속 하락과 100% 하회는 공시 수치로 직접 확인됩니다. 다만 그것이 곧 지급불능을 의미하는지는 만기 구조·여신 한도에 달려 있습니다.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jc w:val="both"/>
      </w:pPr>
      <w:r>
        <w:t xml:space="preserve">1. 단기차입금 상환 스케줄을 월 단위로 펼쳐 향후 12개월 자금 수지를 확인합니다.</w:t>
      </w:r>
    </w:p>
    <w:p>
      <w:pPr>
        <w:jc w:val="both"/>
      </w:pPr>
      <w:r>
        <w:t xml:space="preserve">2. 주석의 미사용 여신한도(커밋라인 포함)를 확인해 실질 가용 유동성을 산정합니다.</w:t>
      </w:r>
    </w:p>
    <w:p>
      <w:pPr>
        <w:jc w:val="both"/>
      </w:pPr>
      <w:r>
        <w:t xml:space="preserve">3. 현금성자산 대비 단기부채 커버리지를 별도로 계산해 채권 회수 없이 버틸 수 있는 기간을 추정합니다.</w:t>
      </w:r>
    </w:p>
    <w:p>
      <w:pPr>
        <w:jc w:val="both"/>
      </w:pPr>
      <w:r>
        <w:rPr>
          <w:b/>
          <w:color w:val="1B2A4A"/>
        </w:rPr>
        <w:t xml:space="preserve">권고 조치. </w:t>
      </w:r>
      <w:r>
        <w:t xml:space="preserve">13주 단위 현금흐름 예측(13-week cash forecast) 체계를 즉시 가동하시고, 주거래은행과의 여신 한도 갱신 협의를 만기 도래 전에 선제적으로 착수하십시오.</w:t>
      </w:r>
    </w:p>
    <w:p>
      <w:pPr>
        <w:pStyle w:val="Heading1"/>
      </w:pPr>
      <w:r>
        <w:rPr>
          <w:b/>
          <w:color w:val="1B2A4A"/>
        </w:rPr>
        <w:t xml:space="preserve">두 신호의 결합 해석</w:t>
      </w:r>
    </w:p>
    <w:p>
      <w:pPr>
        <w:jc w:val="both"/>
      </w:pPr>
      <w:r>
        <w:t xml:space="preserve">E1과 E4는 독립된 문제가 아니라 하나의 메커니즘일 수 있습니다: </w:t>
      </w:r>
      <w:r>
        <w:rPr>
          <w:b/>
        </w:rPr>
        <w:t xml:space="preserve">회수되지 않는 채권이 운전자본을 잠식하고, 그 잠식이 유동비율 급락으로 나타나는 구조</w:t>
      </w:r>
      <w:r>
        <w:t xml:space="preserve">입니다. 판별 테스트에서 채권 연령 악화와 단기 자금 수지 압박이 동시에 확인된다면, 개별 대응이 아니라 채권 회수–자금 조달을 묶은 통합 대응이 필요합니다.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미발화 신호</w:t>
      </w:r>
      <w:r>
        <w:t xml:space="preserve">: 재고 적체(E2), 차입 확대·이자 부담(E3), 공시 정정·해명 패턴(E5), 발생액 품질(E8)은 임계값 미달로 미발화했습니다. 특히 차입금 자체는 축소 기조로 보이나, 이는 유동성 하락의 원인이 부채 확대가 아닌 자산 측(채권 적체)에 있을 가능성과 정합적입니다.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데이터 범위</w:t>
      </w:r>
      <w:r>
        <w:t xml:space="preserve">: 본 브리핑은 공시(DART)·거시(ECOS) 데이터만으로 파생된 외부 신호 2건에 기반합니다. 내부 회계 CSV, 뉴스·평판 축, 시장 시세 축, 비정형 문서 축은 이번 진단에 포함되지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판단의 성격</w:t>
      </w:r>
      <w:r>
        <w:t xml:space="preserve">: 위 신호는 회계 부정의 증거가 아니라 점검이 필요한 이상 패턴입니다. 각 리스크의 실체는 제시된 판별 테스트를 통해 확인 또는 반증되어야 하며, 확신도 표기(확인됨/가설)는 그 전 단계의 판단임을 전제로 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시점 한계</w:t>
      </w:r>
      <w:r>
        <w:t xml:space="preserve">: 2025 사업연도 연차 공시 기준이며, 이후 분기 실적·자금 조달 이벤트는 반영되어 있지 않습니다.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경영리스크 브리핑 — (주)유니테크노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