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0"/>
        </w:rPr>
        <w:t>HEIMDALL</w:t>
      </w:r>
    </w:p>
    <w:p>
      <w:pPr>
        <w:jc w:val="center"/>
      </w:pPr>
      <w:r>
        <w:rPr>
          <w:b/>
          <w:sz w:val="36"/>
        </w:rPr>
        <w:t>Final Requirements and Design Document</w:t>
      </w:r>
    </w:p>
    <w:p>
      <w:pPr>
        <w:jc w:val="center"/>
      </w:pPr>
      <w:r>
        <w:rPr>
          <w:i/>
          <w:sz w:val="24"/>
        </w:rPr>
        <w:t>Keycloak + Vault-Compatible + HEIMDALL Identity Graph</w:t>
      </w:r>
    </w:p>
    <w:p>
      <w:pPr>
        <w:jc w:val="center"/>
      </w:pPr>
      <w:r>
        <w:t>Prepared for Myriad Technology Group | 2026-05-19</w:t>
      </w:r>
    </w:p>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024"/>
            <w:shd w:fill="1F4E78"/>
            <w:tcMar>
              <w:top w:w="80" w:type="dxa"/>
              <w:start w:w="80" w:type="dxa"/>
              <w:bottom w:w="80" w:type="dxa"/>
              <w:end w:w="80" w:type="dxa"/>
            </w:tcMar>
            <w:vAlign w:val="center"/>
          </w:tcPr>
          <w:p>
            <w:pPr>
              <w:spacing w:after="40"/>
            </w:pPr>
            <w:r>
              <w:rPr>
                <w:b/>
                <w:color w:val="FFFFFF"/>
              </w:rPr>
              <w:t>Document Field</w:t>
            </w:r>
          </w:p>
        </w:tc>
        <w:tc>
          <w:tcPr>
            <w:tcW w:type="dxa" w:w="8064"/>
            <w:shd w:fill="1F4E78"/>
            <w:tcMar>
              <w:top w:w="80" w:type="dxa"/>
              <w:start w:w="80" w:type="dxa"/>
              <w:bottom w:w="80" w:type="dxa"/>
              <w:end w:w="80" w:type="dxa"/>
            </w:tcMar>
            <w:vAlign w:val="center"/>
          </w:tcPr>
          <w:p>
            <w:pPr>
              <w:spacing w:after="40"/>
            </w:pPr>
            <w:r>
              <w:rPr>
                <w:b/>
                <w:color w:val="FFFFFF"/>
              </w:rPr>
              <w:t>Value</w:t>
            </w:r>
          </w:p>
        </w:tc>
      </w:tr>
      <w:tr>
        <w:tc>
          <w:tcPr>
            <w:tcW w:type="dxa" w:w="3024"/>
            <w:tcMar>
              <w:top w:w="80" w:type="dxa"/>
              <w:start w:w="80" w:type="dxa"/>
              <w:bottom w:w="80" w:type="dxa"/>
              <w:end w:w="80" w:type="dxa"/>
            </w:tcMar>
            <w:vAlign w:val="top"/>
          </w:tcPr>
          <w:p>
            <w:pPr>
              <w:spacing w:after="40"/>
            </w:pPr>
            <w:r>
              <w:t>System Name</w:t>
            </w:r>
          </w:p>
        </w:tc>
        <w:tc>
          <w:tcPr>
            <w:tcW w:type="dxa" w:w="8064"/>
            <w:tcMar>
              <w:top w:w="80" w:type="dxa"/>
              <w:start w:w="80" w:type="dxa"/>
              <w:bottom w:w="80" w:type="dxa"/>
              <w:end w:w="80" w:type="dxa"/>
            </w:tcMar>
            <w:vAlign w:val="top"/>
          </w:tcPr>
          <w:p>
            <w:pPr>
              <w:spacing w:after="40"/>
            </w:pPr>
            <w:r>
              <w:t>HEIMDALL</w:t>
            </w:r>
          </w:p>
        </w:tc>
      </w:tr>
      <w:tr>
        <w:tc>
          <w:tcPr>
            <w:tcW w:type="dxa" w:w="3024"/>
            <w:tcMar>
              <w:top w:w="80" w:type="dxa"/>
              <w:start w:w="80" w:type="dxa"/>
              <w:bottom w:w="80" w:type="dxa"/>
              <w:end w:w="80" w:type="dxa"/>
            </w:tcMar>
            <w:vAlign w:val="top"/>
          </w:tcPr>
          <w:p>
            <w:pPr>
              <w:spacing w:after="40"/>
            </w:pPr>
            <w:r>
              <w:t>Purpose</w:t>
            </w:r>
          </w:p>
        </w:tc>
        <w:tc>
          <w:tcPr>
            <w:tcW w:type="dxa" w:w="8064"/>
            <w:tcMar>
              <w:top w:w="80" w:type="dxa"/>
              <w:start w:w="80" w:type="dxa"/>
              <w:bottom w:w="80" w:type="dxa"/>
              <w:end w:w="80" w:type="dxa"/>
            </w:tcMar>
            <w:vAlign w:val="top"/>
          </w:tcPr>
          <w:p>
            <w:pPr>
              <w:spacing w:after="40"/>
            </w:pPr>
            <w:r>
              <w:t>Federated identity, trust, access, and secrets governance platform for Myriad-owned applications and services.</w:t>
            </w:r>
          </w:p>
        </w:tc>
      </w:tr>
      <w:tr>
        <w:tc>
          <w:tcPr>
            <w:tcW w:type="dxa" w:w="3024"/>
            <w:tcMar>
              <w:top w:w="80" w:type="dxa"/>
              <w:start w:w="80" w:type="dxa"/>
              <w:bottom w:w="80" w:type="dxa"/>
              <w:end w:w="80" w:type="dxa"/>
            </w:tcMar>
            <w:vAlign w:val="top"/>
          </w:tcPr>
          <w:p>
            <w:pPr>
              <w:spacing w:after="40"/>
            </w:pPr>
            <w:r>
              <w:t>Initial Deployment Model</w:t>
            </w:r>
          </w:p>
        </w:tc>
        <w:tc>
          <w:tcPr>
            <w:tcW w:type="dxa" w:w="8064"/>
            <w:tcMar>
              <w:top w:w="80" w:type="dxa"/>
              <w:start w:w="80" w:type="dxa"/>
              <w:bottom w:w="80" w:type="dxa"/>
              <w:end w:w="80" w:type="dxa"/>
            </w:tcMar>
            <w:vAlign w:val="top"/>
          </w:tcPr>
          <w:p>
            <w:pPr>
              <w:spacing w:after="40"/>
            </w:pPr>
            <w:r>
              <w:t>Vercel + Supabase + containerized Keycloak + Vault-compatible architecture; Gigalixir-supported where needed.</w:t>
            </w:r>
          </w:p>
        </w:tc>
      </w:tr>
      <w:tr>
        <w:tc>
          <w:tcPr>
            <w:tcW w:type="dxa" w:w="3024"/>
            <w:tcMar>
              <w:top w:w="80" w:type="dxa"/>
              <w:start w:w="80" w:type="dxa"/>
              <w:bottom w:w="80" w:type="dxa"/>
              <w:end w:w="80" w:type="dxa"/>
            </w:tcMar>
            <w:vAlign w:val="top"/>
          </w:tcPr>
          <w:p>
            <w:pPr>
              <w:spacing w:after="40"/>
            </w:pPr>
            <w:r>
              <w:t>Future Deployment Model</w:t>
            </w:r>
          </w:p>
        </w:tc>
        <w:tc>
          <w:tcPr>
            <w:tcW w:type="dxa" w:w="8064"/>
            <w:tcMar>
              <w:top w:w="80" w:type="dxa"/>
              <w:start w:w="80" w:type="dxa"/>
              <w:bottom w:w="80" w:type="dxa"/>
              <w:end w:w="80" w:type="dxa"/>
            </w:tcMar>
            <w:vAlign w:val="top"/>
          </w:tcPr>
          <w:p>
            <w:pPr>
              <w:spacing w:after="40"/>
            </w:pPr>
            <w:r>
              <w:t>AWS-ready migration path using RDS, ECS/EKS/App Runner, AWS Secrets Manager/KMS compatibility, EventBridge/SQS, CloudWatch, and S3 audit archives.</w:t>
            </w:r>
          </w:p>
        </w:tc>
      </w:tr>
      <w:tr>
        <w:tc>
          <w:tcPr>
            <w:tcW w:type="dxa" w:w="3024"/>
            <w:tcMar>
              <w:top w:w="80" w:type="dxa"/>
              <w:start w:w="80" w:type="dxa"/>
              <w:bottom w:w="80" w:type="dxa"/>
              <w:end w:w="80" w:type="dxa"/>
            </w:tcMar>
            <w:vAlign w:val="top"/>
          </w:tcPr>
          <w:p>
            <w:pPr>
              <w:spacing w:after="40"/>
            </w:pPr>
            <w:r>
              <w:t>Primary Users</w:t>
            </w:r>
          </w:p>
        </w:tc>
        <w:tc>
          <w:tcPr>
            <w:tcW w:type="dxa" w:w="8064"/>
            <w:tcMar>
              <w:top w:w="80" w:type="dxa"/>
              <w:start w:w="80" w:type="dxa"/>
              <w:bottom w:w="80" w:type="dxa"/>
              <w:end w:w="80" w:type="dxa"/>
            </w:tcMar>
            <w:vAlign w:val="top"/>
          </w:tcPr>
          <w:p>
            <w:pPr>
              <w:spacing w:after="40"/>
            </w:pPr>
            <w:r>
              <w:t>Myriad admins, client operators, client employees/contractors, field users, end customers, minors/guardians, service accounts, and application services.</w:t>
            </w:r>
          </w:p>
        </w:tc>
      </w:tr>
      <w:tr>
        <w:tc>
          <w:tcPr>
            <w:tcW w:type="dxa" w:w="3024"/>
            <w:tcMar>
              <w:top w:w="80" w:type="dxa"/>
              <w:start w:w="80" w:type="dxa"/>
              <w:bottom w:w="80" w:type="dxa"/>
              <w:end w:w="80" w:type="dxa"/>
            </w:tcMar>
            <w:vAlign w:val="top"/>
          </w:tcPr>
          <w:p>
            <w:pPr>
              <w:spacing w:after="40"/>
            </w:pPr>
            <w:r>
              <w:t>Status</w:t>
            </w:r>
          </w:p>
        </w:tc>
        <w:tc>
          <w:tcPr>
            <w:tcW w:type="dxa" w:w="8064"/>
            <w:tcMar>
              <w:top w:w="80" w:type="dxa"/>
              <w:start w:w="80" w:type="dxa"/>
              <w:bottom w:w="80" w:type="dxa"/>
              <w:end w:w="80" w:type="dxa"/>
            </w:tcMar>
            <w:vAlign w:val="top"/>
          </w:tcPr>
          <w:p>
            <w:pPr>
              <w:spacing w:after="40"/>
            </w:pPr>
            <w:r>
              <w:t>Final design baseline for implementation planning.</w:t>
            </w:r>
          </w:p>
        </w:tc>
      </w:tr>
    </w:tbl>
    <w:p/>
    <w:p>
      <w:r>
        <w:rPr>
          <w:b/>
        </w:rPr>
        <w:t xml:space="preserve">North Star Rule: </w:t>
      </w:r>
      <w:r>
        <w:t>Keycloak authenticates. HEIMDALL decides. Vault protects. Postgres remembers. Applications comply.</w:t>
      </w:r>
    </w:p>
    <w:p>
      <w:r>
        <w:br w:type="page"/>
      </w:r>
    </w:p>
    <w:p>
      <w:pPr>
        <w:pStyle w:val="Heading1"/>
      </w:pPr>
      <w:r>
        <w:t>1. Executive Summary</w:t>
      </w:r>
    </w:p>
    <w:p>
      <w:r>
        <w:t>HEIMDALL is the Myriad-wide internal platform for federated identity, user/persona relationships, tenant access, secrets governance, and application trust. It is not intended to be sold as a standalone product in its first iteration. It supports Myriad-owned products such as PEDL, Quest, the Myriad core dashboard, client-facing dashboards, mobile field apps, mobile web apps, and customer-facing apps.</w:t>
      </w:r>
    </w:p>
    <w:p>
      <w:r>
        <w:t>The recommended final architecture uses Keycloak as the authentication and federation broker, a HEIMDALL-owned identity graph as the source of truth for identity and authorization decisions, PostgreSQL/Supabase as the system-of-record database, and a Vault-compatible secrets and encryption layer. The first deployment is optimized for Vercel, Supabase, Gigalixir, and containerized services, while preserving a migration path to AWS when compliance, enterprise, or operational requirements justify it.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shd w:fill="1F4E78"/>
            <w:tcMar>
              <w:top w:w="80" w:type="dxa"/>
              <w:start w:w="80" w:type="dxa"/>
              <w:bottom w:w="80" w:type="dxa"/>
              <w:end w:w="80" w:type="dxa"/>
            </w:tcMar>
            <w:vAlign w:val="center"/>
          </w:tcPr>
          <w:p>
            <w:pPr>
              <w:spacing w:after="40"/>
            </w:pPr>
            <w:r>
              <w:rPr>
                <w:b/>
                <w:color w:val="FFFFFF"/>
              </w:rPr>
              <w:t>Decision Area</w:t>
            </w:r>
          </w:p>
        </w:tc>
        <w:tc>
          <w:tcPr>
            <w:tcW w:type="dxa" w:w="7920"/>
            <w:shd w:fill="1F4E78"/>
            <w:tcMar>
              <w:top w:w="80" w:type="dxa"/>
              <w:start w:w="80" w:type="dxa"/>
              <w:bottom w:w="80" w:type="dxa"/>
              <w:end w:w="80" w:type="dxa"/>
            </w:tcMar>
            <w:vAlign w:val="center"/>
          </w:tcPr>
          <w:p>
            <w:pPr>
              <w:spacing w:after="40"/>
            </w:pPr>
            <w:r>
              <w:rPr>
                <w:b/>
                <w:color w:val="FFFFFF"/>
              </w:rPr>
              <w:t>Final Position</w:t>
            </w:r>
          </w:p>
        </w:tc>
      </w:tr>
      <w:tr>
        <w:tc>
          <w:tcPr>
            <w:tcW w:type="dxa" w:w="3168"/>
            <w:tcMar>
              <w:top w:w="80" w:type="dxa"/>
              <w:start w:w="80" w:type="dxa"/>
              <w:bottom w:w="80" w:type="dxa"/>
              <w:end w:w="80" w:type="dxa"/>
            </w:tcMar>
            <w:vAlign w:val="top"/>
          </w:tcPr>
          <w:p>
            <w:pPr>
              <w:spacing w:after="40"/>
            </w:pPr>
            <w:r>
              <w:t>Product Scope</w:t>
            </w:r>
          </w:p>
        </w:tc>
        <w:tc>
          <w:tcPr>
            <w:tcW w:type="dxa" w:w="7920"/>
            <w:tcMar>
              <w:top w:w="80" w:type="dxa"/>
              <w:start w:w="80" w:type="dxa"/>
              <w:bottom w:w="80" w:type="dxa"/>
              <w:end w:w="80" w:type="dxa"/>
            </w:tcMar>
            <w:vAlign w:val="top"/>
          </w:tcPr>
          <w:p>
            <w:pPr>
              <w:spacing w:after="40"/>
            </w:pPr>
            <w:r>
              <w:t>Internal Myriad platform service for Myriad-owned apps and services; not a standalone commercial product initially.</w:t>
            </w:r>
          </w:p>
        </w:tc>
      </w:tr>
      <w:tr>
        <w:tc>
          <w:tcPr>
            <w:tcW w:type="dxa" w:w="3168"/>
            <w:tcMar>
              <w:top w:w="80" w:type="dxa"/>
              <w:start w:w="80" w:type="dxa"/>
              <w:bottom w:w="80" w:type="dxa"/>
              <w:end w:w="80" w:type="dxa"/>
            </w:tcMar>
            <w:vAlign w:val="top"/>
          </w:tcPr>
          <w:p>
            <w:pPr>
              <w:spacing w:after="40"/>
            </w:pPr>
            <w:r>
              <w:t>Identity Source of Truth</w:t>
            </w:r>
          </w:p>
        </w:tc>
        <w:tc>
          <w:tcPr>
            <w:tcW w:type="dxa" w:w="7920"/>
            <w:tcMar>
              <w:top w:w="80" w:type="dxa"/>
              <w:start w:w="80" w:type="dxa"/>
              <w:bottom w:w="80" w:type="dxa"/>
              <w:end w:w="80" w:type="dxa"/>
            </w:tcMar>
            <w:vAlign w:val="top"/>
          </w:tcPr>
          <w:p>
            <w:pPr>
              <w:spacing w:after="40"/>
            </w:pPr>
            <w:r>
              <w:t>HEIMDALL Identity Graph is authoritative. Keycloak authenticates but does not own the full identity graph.</w:t>
            </w:r>
          </w:p>
        </w:tc>
      </w:tr>
      <w:tr>
        <w:tc>
          <w:tcPr>
            <w:tcW w:type="dxa" w:w="3168"/>
            <w:tcMar>
              <w:top w:w="80" w:type="dxa"/>
              <w:start w:w="80" w:type="dxa"/>
              <w:bottom w:w="80" w:type="dxa"/>
              <w:end w:w="80" w:type="dxa"/>
            </w:tcMar>
            <w:vAlign w:val="top"/>
          </w:tcPr>
          <w:p>
            <w:pPr>
              <w:spacing w:after="40"/>
            </w:pPr>
            <w:r>
              <w:t>Auth Broker</w:t>
            </w:r>
          </w:p>
        </w:tc>
        <w:tc>
          <w:tcPr>
            <w:tcW w:type="dxa" w:w="7920"/>
            <w:tcMar>
              <w:top w:w="80" w:type="dxa"/>
              <w:start w:w="80" w:type="dxa"/>
              <w:bottom w:w="80" w:type="dxa"/>
              <w:end w:w="80" w:type="dxa"/>
            </w:tcMar>
            <w:vAlign w:val="top"/>
          </w:tcPr>
          <w:p>
            <w:pPr>
              <w:spacing w:after="40"/>
            </w:pPr>
            <w:r>
              <w:t>Keycloak, with Auth0 compatibility and future Okta/enterprise SSO support.</w:t>
            </w:r>
          </w:p>
        </w:tc>
      </w:tr>
      <w:tr>
        <w:tc>
          <w:tcPr>
            <w:tcW w:type="dxa" w:w="3168"/>
            <w:tcMar>
              <w:top w:w="80" w:type="dxa"/>
              <w:start w:w="80" w:type="dxa"/>
              <w:bottom w:w="80" w:type="dxa"/>
              <w:end w:w="80" w:type="dxa"/>
            </w:tcMar>
            <w:vAlign w:val="top"/>
          </w:tcPr>
          <w:p>
            <w:pPr>
              <w:spacing w:after="40"/>
            </w:pPr>
            <w:r>
              <w:t>Secrets / Credentials</w:t>
            </w:r>
          </w:p>
        </w:tc>
        <w:tc>
          <w:tcPr>
            <w:tcW w:type="dxa" w:w="7920"/>
            <w:tcMar>
              <w:top w:w="80" w:type="dxa"/>
              <w:start w:w="80" w:type="dxa"/>
              <w:bottom w:w="80" w:type="dxa"/>
              <w:end w:w="80" w:type="dxa"/>
            </w:tcMar>
            <w:vAlign w:val="top"/>
          </w:tcPr>
          <w:p>
            <w:pPr>
              <w:spacing w:after="40"/>
            </w:pPr>
            <w:r>
              <w:t>Vault-compatible architecture; Vault stores/protects secrets, HEIMDALL governs access and metadata.</w:t>
            </w:r>
          </w:p>
        </w:tc>
      </w:tr>
      <w:tr>
        <w:tc>
          <w:tcPr>
            <w:tcW w:type="dxa" w:w="3168"/>
            <w:tcMar>
              <w:top w:w="80" w:type="dxa"/>
              <w:start w:w="80" w:type="dxa"/>
              <w:bottom w:w="80" w:type="dxa"/>
              <w:end w:w="80" w:type="dxa"/>
            </w:tcMar>
            <w:vAlign w:val="top"/>
          </w:tcPr>
          <w:p>
            <w:pPr>
              <w:spacing w:after="40"/>
            </w:pPr>
            <w:r>
              <w:t>Primary Data Store</w:t>
            </w:r>
          </w:p>
        </w:tc>
        <w:tc>
          <w:tcPr>
            <w:tcW w:type="dxa" w:w="7920"/>
            <w:tcMar>
              <w:top w:w="80" w:type="dxa"/>
              <w:start w:w="80" w:type="dxa"/>
              <w:bottom w:w="80" w:type="dxa"/>
              <w:end w:w="80" w:type="dxa"/>
            </w:tcMar>
            <w:vAlign w:val="top"/>
          </w:tcPr>
          <w:p>
            <w:pPr>
              <w:spacing w:after="40"/>
            </w:pPr>
            <w:r>
              <w:t>PostgreSQL, initially Supabase-compatible; AWS RDS/Aurora-ready later.</w:t>
            </w:r>
          </w:p>
        </w:tc>
      </w:tr>
      <w:tr>
        <w:tc>
          <w:tcPr>
            <w:tcW w:type="dxa" w:w="3168"/>
            <w:tcMar>
              <w:top w:w="80" w:type="dxa"/>
              <w:start w:w="80" w:type="dxa"/>
              <w:bottom w:w="80" w:type="dxa"/>
              <w:end w:w="80" w:type="dxa"/>
            </w:tcMar>
            <w:vAlign w:val="top"/>
          </w:tcPr>
          <w:p>
            <w:pPr>
              <w:spacing w:after="40"/>
            </w:pPr>
            <w:r>
              <w:t>Deployment</w:t>
            </w:r>
          </w:p>
        </w:tc>
        <w:tc>
          <w:tcPr>
            <w:tcW w:type="dxa" w:w="7920"/>
            <w:tcMar>
              <w:top w:w="80" w:type="dxa"/>
              <w:start w:w="80" w:type="dxa"/>
              <w:bottom w:w="80" w:type="dxa"/>
              <w:end w:w="80" w:type="dxa"/>
            </w:tcMar>
            <w:vAlign w:val="top"/>
          </w:tcPr>
          <w:p>
            <w:pPr>
              <w:spacing w:after="40"/>
            </w:pPr>
            <w:r>
              <w:t>Vercel + Supabase + containerized Keycloak + Vault-compatible services, with Gigalixir support where useful.</w:t>
            </w:r>
          </w:p>
        </w:tc>
      </w:tr>
      <w:tr>
        <w:tc>
          <w:tcPr>
            <w:tcW w:type="dxa" w:w="3168"/>
            <w:tcMar>
              <w:top w:w="80" w:type="dxa"/>
              <w:start w:w="80" w:type="dxa"/>
              <w:bottom w:w="80" w:type="dxa"/>
              <w:end w:w="80" w:type="dxa"/>
            </w:tcMar>
            <w:vAlign w:val="top"/>
          </w:tcPr>
          <w:p>
            <w:pPr>
              <w:spacing w:after="40"/>
            </w:pPr>
            <w:r>
              <w:t>AWS Readiness</w:t>
            </w:r>
          </w:p>
        </w:tc>
        <w:tc>
          <w:tcPr>
            <w:tcW w:type="dxa" w:w="7920"/>
            <w:tcMar>
              <w:top w:w="80" w:type="dxa"/>
              <w:start w:w="80" w:type="dxa"/>
              <w:bottom w:w="80" w:type="dxa"/>
              <w:end w:w="80" w:type="dxa"/>
            </w:tcMar>
            <w:vAlign w:val="top"/>
          </w:tcPr>
          <w:p>
            <w:pPr>
              <w:spacing w:after="40"/>
            </w:pPr>
            <w:r>
              <w:t>Abstract auth, secrets, events, and data layers so Keycloak/Vault/Supabase can migrate to AWS-managed equivalents if needed.</w:t>
            </w:r>
          </w:p>
        </w:tc>
      </w:tr>
      <w:tr>
        <w:tc>
          <w:tcPr>
            <w:tcW w:type="dxa" w:w="3168"/>
            <w:tcMar>
              <w:top w:w="80" w:type="dxa"/>
              <w:start w:w="80" w:type="dxa"/>
              <w:bottom w:w="80" w:type="dxa"/>
              <w:end w:w="80" w:type="dxa"/>
            </w:tcMar>
            <w:vAlign w:val="top"/>
          </w:tcPr>
          <w:p>
            <w:pPr>
              <w:spacing w:after="40"/>
            </w:pPr>
            <w:r>
              <w:t>Child/Minor Support</w:t>
            </w:r>
          </w:p>
        </w:tc>
        <w:tc>
          <w:tcPr>
            <w:tcW w:type="dxa" w:w="7920"/>
            <w:tcMar>
              <w:top w:w="80" w:type="dxa"/>
              <w:start w:w="80" w:type="dxa"/>
              <w:bottom w:w="80" w:type="dxa"/>
              <w:end w:w="80" w:type="dxa"/>
            </w:tcMar>
            <w:vAlign w:val="top"/>
          </w:tcPr>
          <w:p>
            <w:pPr>
              <w:spacing w:after="40"/>
            </w:pPr>
            <w:r>
              <w:t>Immediate requirement; include guardian consent, minor restrictions, and age policy model from day one.</w:t>
            </w:r>
          </w:p>
        </w:tc>
      </w:tr>
    </w:tbl>
    <w:p/>
    <w:p>
      <w:pPr>
        <w:pStyle w:val="Heading1"/>
      </w:pPr>
      <w:r>
        <w:t>2. Goals and Non-Goals</w:t>
      </w:r>
    </w:p>
    <w:p>
      <w:pPr>
        <w:pStyle w:val="Heading2"/>
      </w:pPr>
      <w:r>
        <w:t>2.1 Goals</w:t>
      </w:r>
    </w:p>
    <w:p>
      <w:pPr>
        <w:pStyle w:val="ListBullet"/>
      </w:pPr>
      <w:r>
        <w:t>Provide a centralized identity system across Myriad-owned apps and services.</w:t>
      </w:r>
    </w:p>
    <w:p>
      <w:pPr>
        <w:pStyle w:val="ListBullet"/>
      </w:pPr>
      <w:r>
        <w:t>Support Parent UUIDs, application/persona UUIDs, guest identities, minor/guardian identities, and intentional unlinked accounts.</w:t>
      </w:r>
    </w:p>
    <w:p>
      <w:pPr>
        <w:pStyle w:val="ListBullet"/>
      </w:pPr>
      <w:r>
        <w:t>Support email/password, multiple emails, phone credentials, social login, future passwordless flows, future Auth0 compatibility, and future Okta/enterprise SSO.</w:t>
      </w:r>
    </w:p>
    <w:p>
      <w:pPr>
        <w:pStyle w:val="ListBullet"/>
      </w:pPr>
      <w:r>
        <w:t>Support white-label login experiences where the user may not initially know the account is related to other Myriad apps.</w:t>
      </w:r>
    </w:p>
    <w:p>
      <w:pPr>
        <w:pStyle w:val="ListBullet"/>
      </w:pPr>
      <w:r>
        <w:t>Support tenant/client isolation, app-specific roles, permissions, verification records, and account linking/unlinking by explicit user/admin action.</w:t>
      </w:r>
    </w:p>
    <w:p>
      <w:pPr>
        <w:pStyle w:val="ListBullet"/>
      </w:pPr>
      <w:r>
        <w:t>Maintain a secrets and credentials registry for API keys, database credentials, OAuth client secrets, webhook secrets, and third-party provider credentials.</w:t>
      </w:r>
    </w:p>
    <w:p>
      <w:pPr>
        <w:pStyle w:val="ListBullet"/>
      </w:pPr>
      <w:r>
        <w:t>Use Vault-compatible mechanisms for encryption, HMAC/searchable PII hashes, key management, and controlled secret storage.</w:t>
      </w:r>
    </w:p>
    <w:p>
      <w:pPr>
        <w:pStyle w:val="ListBullet"/>
      </w:pPr>
      <w:r>
        <w:t>Remain AWS-ready without becoming AWS-first.</w:t>
      </w:r>
    </w:p>
    <w:p>
      <w:pPr>
        <w:pStyle w:val="Heading2"/>
      </w:pPr>
      <w:r>
        <w:t>2.2 Non-Goals</w:t>
      </w:r>
    </w:p>
    <w:p>
      <w:pPr>
        <w:pStyle w:val="ListBullet"/>
      </w:pPr>
      <w:r>
        <w:t>HEIMDALL will not be offered as a standalone commercial identity product at launch.</w:t>
      </w:r>
    </w:p>
    <w:p>
      <w:pPr>
        <w:pStyle w:val="ListBullet"/>
      </w:pPr>
      <w:r>
        <w:t>HEIMDALL will not store plaintext secrets in the database.</w:t>
      </w:r>
    </w:p>
    <w:p>
      <w:pPr>
        <w:pStyle w:val="ListBullet"/>
      </w:pPr>
      <w:r>
        <w:t>HEIMDALL will not force automatic account linking across apps, tenants, devices, or emails.</w:t>
      </w:r>
    </w:p>
    <w:p>
      <w:pPr>
        <w:pStyle w:val="ListBullet"/>
      </w:pPr>
      <w:r>
        <w:t>HEIMDALL will not replace application-specific business profiles or become a CRM.</w:t>
      </w:r>
    </w:p>
    <w:p>
      <w:pPr>
        <w:pStyle w:val="ListBullet"/>
      </w:pPr>
      <w:r>
        <w:t>Frontend applications will not receive direct broad access to Vault paths or production secrets.</w:t>
      </w:r>
    </w:p>
    <w:p>
      <w:pPr>
        <w:pStyle w:val="ListBullet"/>
      </w:pPr>
      <w:r>
        <w:t>AWS-native services are not required for the first implementation, but the system must be designed for future AWS migration.</w:t>
      </w:r>
    </w:p>
    <w:p>
      <w:pPr>
        <w:pStyle w:val="Heading1"/>
      </w:pPr>
      <w:r>
        <w:t>3. Reference Architecture</w:t>
      </w:r>
    </w:p>
    <w:p>
      <w:pPr>
        <w:pStyle w:val="CodeBlock"/>
      </w:pPr>
      <w:r>
        <w:t>Myriad / Client / Customer Applications</w:t>
        <w:br/>
        <w:t xml:space="preserve">  - Myriad Core Dashboard</w:t>
        <w:br/>
        <w:t xml:space="preserve">  - PEDL Rider / Driver / Admin</w:t>
        <w:br/>
        <w:t xml:space="preserve">  - Quest Attendee / Organizer / Admin</w:t>
        <w:br/>
        <w:t xml:space="preserve">  - Client Field Apps</w:t>
        <w:br/>
        <w:t xml:space="preserve">  - Mobile Web / Native Mobile Apps</w:t>
        <w:br/>
        <w:t xml:space="preserve">  - White-label Client Apps</w:t>
        <w:br/>
        <w:br/>
        <w:t xml:space="preserve">        ↓ OIDC / OAuth2 / Application API Calls</w:t>
        <w:br/>
        <w:br/>
        <w:t>Keycloak Authentication and Federation Broker</w:t>
        <w:br/>
        <w:t xml:space="preserve">  - Realms, clients, organizations, groups</w:t>
        <w:br/>
        <w:t xml:space="preserve">  - OIDC/OAuth2 and future SAML</w:t>
        <w:br/>
        <w:t xml:space="preserve">  - Social login and future enterprise IdP federation</w:t>
        <w:br/>
        <w:t xml:space="preserve">  - White-label login themes and tenant-aware login flows</w:t>
        <w:br/>
        <w:t xml:space="preserve">  - Token issuance and session handling</w:t>
        <w:br/>
        <w:br/>
        <w:t xml:space="preserve">        ↓ Token claims / Events / Admin API</w:t>
        <w:br/>
        <w:br/>
        <w:t>HEIMDALL Core Platform</w:t>
        <w:br/>
        <w:t xml:space="preserve">  - Identity Graph Service</w:t>
        <w:br/>
        <w:t xml:space="preserve">  - Persona Registry</w:t>
        <w:br/>
        <w:t xml:space="preserve">  - Tenant and Branding Service</w:t>
        <w:br/>
        <w:t xml:space="preserve">  - Credential Link Service</w:t>
        <w:br/>
        <w:t xml:space="preserve">  - Guest Identity Service</w:t>
        <w:br/>
        <w:t xml:space="preserve">  - Minor and Guardian Service</w:t>
        <w:br/>
        <w:t xml:space="preserve">  - Verification Registry</w:t>
        <w:br/>
        <w:t xml:space="preserve">  - Role and Permission Resolver</w:t>
        <w:br/>
        <w:t xml:space="preserve">  - Secret and Credential Governance</w:t>
        <w:br/>
        <w:t xml:space="preserve">  - Offline Sync Intake</w:t>
        <w:br/>
        <w:t xml:space="preserve">  - Audit and Event Ledger</w:t>
        <w:br/>
        <w:br/>
        <w:t xml:space="preserve">        ↓ Secrets, encryption, HMACs, key operations</w:t>
        <w:br/>
        <w:br/>
        <w:t>Vault-Compatible Secrets and Encryption Layer</w:t>
        <w:br/>
        <w:t xml:space="preserve">  - Vault KV / Transit first</w:t>
        <w:br/>
        <w:t xml:space="preserve">  - Future AWS Secrets Manager / KMS compatibility</w:t>
        <w:br/>
        <w:br/>
        <w:t xml:space="preserve">        ↓ System of Record</w:t>
        <w:br/>
        <w:br/>
        <w:t>PostgreSQL / Supabase-Compatible HEIMDALL Database</w:t>
        <w:br/>
        <w:t xml:space="preserve">  - Identity graph, metadata, audit, events, policies, secret references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592"/>
            <w:shd w:fill="1F4E78"/>
            <w:tcMar>
              <w:top w:w="80" w:type="dxa"/>
              <w:start w:w="80" w:type="dxa"/>
              <w:bottom w:w="80" w:type="dxa"/>
              <w:end w:w="80" w:type="dxa"/>
            </w:tcMar>
            <w:vAlign w:val="center"/>
          </w:tcPr>
          <w:p>
            <w:pPr>
              <w:spacing w:after="40"/>
            </w:pPr>
            <w:r>
              <w:rPr>
                <w:b/>
                <w:color w:val="FFFFFF"/>
              </w:rPr>
              <w:t>Component</w:t>
            </w:r>
          </w:p>
        </w:tc>
        <w:tc>
          <w:tcPr>
            <w:tcW w:type="dxa" w:w="4752"/>
            <w:shd w:fill="1F4E78"/>
            <w:tcMar>
              <w:top w:w="80" w:type="dxa"/>
              <w:start w:w="80" w:type="dxa"/>
              <w:bottom w:w="80" w:type="dxa"/>
              <w:end w:w="80" w:type="dxa"/>
            </w:tcMar>
            <w:vAlign w:val="center"/>
          </w:tcPr>
          <w:p>
            <w:pPr>
              <w:spacing w:after="40"/>
            </w:pPr>
            <w:r>
              <w:rPr>
                <w:b/>
                <w:color w:val="FFFFFF"/>
              </w:rPr>
              <w:t>Primary Responsibility</w:t>
            </w:r>
          </w:p>
        </w:tc>
        <w:tc>
          <w:tcPr>
            <w:tcW w:type="dxa" w:w="3744"/>
            <w:shd w:fill="1F4E78"/>
            <w:tcMar>
              <w:top w:w="80" w:type="dxa"/>
              <w:start w:w="80" w:type="dxa"/>
              <w:bottom w:w="80" w:type="dxa"/>
              <w:end w:w="80" w:type="dxa"/>
            </w:tcMar>
            <w:vAlign w:val="center"/>
          </w:tcPr>
          <w:p>
            <w:pPr>
              <w:spacing w:after="40"/>
            </w:pPr>
            <w:r>
              <w:rPr>
                <w:b/>
                <w:color w:val="FFFFFF"/>
              </w:rPr>
              <w:t>Must Not Do</w:t>
            </w:r>
          </w:p>
        </w:tc>
      </w:tr>
      <w:tr>
        <w:tc>
          <w:tcPr>
            <w:tcW w:type="dxa" w:w="2592"/>
            <w:tcMar>
              <w:top w:w="80" w:type="dxa"/>
              <w:start w:w="80" w:type="dxa"/>
              <w:bottom w:w="80" w:type="dxa"/>
              <w:end w:w="80" w:type="dxa"/>
            </w:tcMar>
            <w:vAlign w:val="top"/>
          </w:tcPr>
          <w:p>
            <w:pPr>
              <w:spacing w:after="40"/>
            </w:pPr>
            <w:r>
              <w:t>Keycloak</w:t>
            </w:r>
          </w:p>
        </w:tc>
        <w:tc>
          <w:tcPr>
            <w:tcW w:type="dxa" w:w="4752"/>
            <w:tcMar>
              <w:top w:w="80" w:type="dxa"/>
              <w:start w:w="80" w:type="dxa"/>
              <w:bottom w:w="80" w:type="dxa"/>
              <w:end w:w="80" w:type="dxa"/>
            </w:tcMar>
            <w:vAlign w:val="top"/>
          </w:tcPr>
          <w:p>
            <w:pPr>
              <w:spacing w:after="40"/>
            </w:pPr>
            <w:r>
              <w:t>Authenticate users, broker identity providers, issue tokens, manage login sessions, support OIDC/OAuth2/SAML, enable white-label login flows.</w:t>
            </w:r>
          </w:p>
        </w:tc>
        <w:tc>
          <w:tcPr>
            <w:tcW w:type="dxa" w:w="3744"/>
            <w:tcMar>
              <w:top w:w="80" w:type="dxa"/>
              <w:start w:w="80" w:type="dxa"/>
              <w:bottom w:w="80" w:type="dxa"/>
              <w:end w:w="80" w:type="dxa"/>
            </w:tcMar>
            <w:vAlign w:val="top"/>
          </w:tcPr>
          <w:p>
            <w:pPr>
              <w:spacing w:after="40"/>
            </w:pPr>
            <w:r>
              <w:t>Own complex app/persona/tenant identity graph or store app-specific business identity logic.</w:t>
            </w:r>
          </w:p>
        </w:tc>
      </w:tr>
      <w:tr>
        <w:tc>
          <w:tcPr>
            <w:tcW w:type="dxa" w:w="2592"/>
            <w:tcMar>
              <w:top w:w="80" w:type="dxa"/>
              <w:start w:w="80" w:type="dxa"/>
              <w:bottom w:w="80" w:type="dxa"/>
              <w:end w:w="80" w:type="dxa"/>
            </w:tcMar>
            <w:vAlign w:val="top"/>
          </w:tcPr>
          <w:p>
            <w:pPr>
              <w:spacing w:after="40"/>
            </w:pPr>
            <w:r>
              <w:t>HEIMDALL Identity Graph</w:t>
            </w:r>
          </w:p>
        </w:tc>
        <w:tc>
          <w:tcPr>
            <w:tcW w:type="dxa" w:w="4752"/>
            <w:tcMar>
              <w:top w:w="80" w:type="dxa"/>
              <w:start w:w="80" w:type="dxa"/>
              <w:bottom w:w="80" w:type="dxa"/>
              <w:end w:w="80" w:type="dxa"/>
            </w:tcMar>
            <w:vAlign w:val="top"/>
          </w:tcPr>
          <w:p>
            <w:pPr>
              <w:spacing w:after="40"/>
            </w:pPr>
            <w:r>
              <w:t>Own Parent UUIDs, personas, tenant memberships, credential link policy, minor/guardian records, guest upgrades, verification, roles, permissions, audit events.</w:t>
            </w:r>
          </w:p>
        </w:tc>
        <w:tc>
          <w:tcPr>
            <w:tcW w:type="dxa" w:w="3744"/>
            <w:tcMar>
              <w:top w:w="80" w:type="dxa"/>
              <w:start w:w="80" w:type="dxa"/>
              <w:bottom w:w="80" w:type="dxa"/>
              <w:end w:w="80" w:type="dxa"/>
            </w:tcMar>
            <w:vAlign w:val="top"/>
          </w:tcPr>
          <w:p>
            <w:pPr>
              <w:spacing w:after="40"/>
            </w:pPr>
            <w:r>
              <w:t>Act merely as a Keycloak metadata extension or force account linking.</w:t>
            </w:r>
          </w:p>
        </w:tc>
      </w:tr>
      <w:tr>
        <w:tc>
          <w:tcPr>
            <w:tcW w:type="dxa" w:w="2592"/>
            <w:tcMar>
              <w:top w:w="80" w:type="dxa"/>
              <w:start w:w="80" w:type="dxa"/>
              <w:bottom w:w="80" w:type="dxa"/>
              <w:end w:w="80" w:type="dxa"/>
            </w:tcMar>
            <w:vAlign w:val="top"/>
          </w:tcPr>
          <w:p>
            <w:pPr>
              <w:spacing w:after="40"/>
            </w:pPr>
            <w:r>
              <w:t>HEIMDALL Vault Broker</w:t>
            </w:r>
          </w:p>
        </w:tc>
        <w:tc>
          <w:tcPr>
            <w:tcW w:type="dxa" w:w="4752"/>
            <w:tcMar>
              <w:top w:w="80" w:type="dxa"/>
              <w:start w:w="80" w:type="dxa"/>
              <w:bottom w:w="80" w:type="dxa"/>
              <w:end w:w="80" w:type="dxa"/>
            </w:tcMar>
            <w:vAlign w:val="top"/>
          </w:tcPr>
          <w:p>
            <w:pPr>
              <w:spacing w:after="40"/>
            </w:pPr>
            <w:r>
              <w:t>Govern secret metadata, access policies, rotation requests, approvals, audit, and Vault path references.</w:t>
            </w:r>
          </w:p>
        </w:tc>
        <w:tc>
          <w:tcPr>
            <w:tcW w:type="dxa" w:w="3744"/>
            <w:tcMar>
              <w:top w:w="80" w:type="dxa"/>
              <w:start w:w="80" w:type="dxa"/>
              <w:bottom w:w="80" w:type="dxa"/>
              <w:end w:w="80" w:type="dxa"/>
            </w:tcMar>
            <w:vAlign w:val="top"/>
          </w:tcPr>
          <w:p>
            <w:pPr>
              <w:spacing w:after="40"/>
            </w:pPr>
            <w:r>
              <w:t>Store plaintext secret values in HEIMDALL DB.</w:t>
            </w:r>
          </w:p>
        </w:tc>
      </w:tr>
      <w:tr>
        <w:tc>
          <w:tcPr>
            <w:tcW w:type="dxa" w:w="2592"/>
            <w:tcMar>
              <w:top w:w="80" w:type="dxa"/>
              <w:start w:w="80" w:type="dxa"/>
              <w:bottom w:w="80" w:type="dxa"/>
              <w:end w:w="80" w:type="dxa"/>
            </w:tcMar>
            <w:vAlign w:val="top"/>
          </w:tcPr>
          <w:p>
            <w:pPr>
              <w:spacing w:after="40"/>
            </w:pPr>
            <w:r>
              <w:t>Vault-Compatible Layer</w:t>
            </w:r>
          </w:p>
        </w:tc>
        <w:tc>
          <w:tcPr>
            <w:tcW w:type="dxa" w:w="4752"/>
            <w:tcMar>
              <w:top w:w="80" w:type="dxa"/>
              <w:start w:w="80" w:type="dxa"/>
              <w:bottom w:w="80" w:type="dxa"/>
              <w:end w:w="80" w:type="dxa"/>
            </w:tcMar>
            <w:vAlign w:val="top"/>
          </w:tcPr>
          <w:p>
            <w:pPr>
              <w:spacing w:after="40"/>
            </w:pPr>
            <w:r>
              <w:t>Protect secrets, credentials, keys, transit encryption, HMACs, and sensitive signing material.</w:t>
            </w:r>
          </w:p>
        </w:tc>
        <w:tc>
          <w:tcPr>
            <w:tcW w:type="dxa" w:w="3744"/>
            <w:tcMar>
              <w:top w:w="80" w:type="dxa"/>
              <w:start w:w="80" w:type="dxa"/>
              <w:bottom w:w="80" w:type="dxa"/>
              <w:end w:w="80" w:type="dxa"/>
            </w:tcMar>
            <w:vAlign w:val="top"/>
          </w:tcPr>
          <w:p>
            <w:pPr>
              <w:spacing w:after="40"/>
            </w:pPr>
            <w:r>
              <w:t>Make business authorization decisions.</w:t>
            </w:r>
          </w:p>
        </w:tc>
      </w:tr>
      <w:tr>
        <w:tc>
          <w:tcPr>
            <w:tcW w:type="dxa" w:w="2592"/>
            <w:tcMar>
              <w:top w:w="80" w:type="dxa"/>
              <w:start w:w="80" w:type="dxa"/>
              <w:bottom w:w="80" w:type="dxa"/>
              <w:end w:w="80" w:type="dxa"/>
            </w:tcMar>
            <w:vAlign w:val="top"/>
          </w:tcPr>
          <w:p>
            <w:pPr>
              <w:spacing w:after="40"/>
            </w:pPr>
            <w:r>
              <w:t>PostgreSQL / Supabase</w:t>
            </w:r>
          </w:p>
        </w:tc>
        <w:tc>
          <w:tcPr>
            <w:tcW w:type="dxa" w:w="4752"/>
            <w:tcMar>
              <w:top w:w="80" w:type="dxa"/>
              <w:start w:w="80" w:type="dxa"/>
              <w:bottom w:w="80" w:type="dxa"/>
              <w:end w:w="80" w:type="dxa"/>
            </w:tcMar>
            <w:vAlign w:val="top"/>
          </w:tcPr>
          <w:p>
            <w:pPr>
              <w:spacing w:after="40"/>
            </w:pPr>
            <w:r>
              <w:t>Persist HEIMDALL system-of-record data, events, audit metadata, identity relationships, policies, and secret references.</w:t>
            </w:r>
          </w:p>
        </w:tc>
        <w:tc>
          <w:tcPr>
            <w:tcW w:type="dxa" w:w="3744"/>
            <w:tcMar>
              <w:top w:w="80" w:type="dxa"/>
              <w:start w:w="80" w:type="dxa"/>
              <w:bottom w:w="80" w:type="dxa"/>
              <w:end w:w="80" w:type="dxa"/>
            </w:tcMar>
            <w:vAlign w:val="top"/>
          </w:tcPr>
          <w:p>
            <w:pPr>
              <w:spacing w:after="40"/>
            </w:pPr>
            <w:r>
              <w:t>Store plaintext PII or plaintext secrets.</w:t>
            </w:r>
          </w:p>
        </w:tc>
      </w:tr>
      <w:tr>
        <w:tc>
          <w:tcPr>
            <w:tcW w:type="dxa" w:w="2592"/>
            <w:tcMar>
              <w:top w:w="80" w:type="dxa"/>
              <w:start w:w="80" w:type="dxa"/>
              <w:bottom w:w="80" w:type="dxa"/>
              <w:end w:w="80" w:type="dxa"/>
            </w:tcMar>
            <w:vAlign w:val="top"/>
          </w:tcPr>
          <w:p>
            <w:pPr>
              <w:spacing w:after="40"/>
            </w:pPr>
            <w:r>
              <w:t>Applications</w:t>
            </w:r>
          </w:p>
        </w:tc>
        <w:tc>
          <w:tcPr>
            <w:tcW w:type="dxa" w:w="4752"/>
            <w:tcMar>
              <w:top w:w="80" w:type="dxa"/>
              <w:start w:w="80" w:type="dxa"/>
              <w:bottom w:w="80" w:type="dxa"/>
              <w:end w:w="80" w:type="dxa"/>
            </w:tcMar>
            <w:vAlign w:val="top"/>
          </w:tcPr>
          <w:p>
            <w:pPr>
              <w:spacing w:after="40"/>
            </w:pPr>
            <w:r>
              <w:t>Consume identity, persona, and permission decisions from HEIMDALL; authenticate via Keycloak.</w:t>
            </w:r>
          </w:p>
        </w:tc>
        <w:tc>
          <w:tcPr>
            <w:tcW w:type="dxa" w:w="3744"/>
            <w:tcMar>
              <w:top w:w="80" w:type="dxa"/>
              <w:start w:w="80" w:type="dxa"/>
              <w:bottom w:w="80" w:type="dxa"/>
              <w:end w:w="80" w:type="dxa"/>
            </w:tcMar>
            <w:vAlign w:val="top"/>
          </w:tcPr>
          <w:p>
            <w:pPr>
              <w:spacing w:after="40"/>
            </w:pPr>
            <w:r>
              <w:t>Invent independent identity sources of truth except offline provisional records pending sync.</w:t>
            </w:r>
          </w:p>
        </w:tc>
      </w:tr>
    </w:tbl>
    <w:p/>
    <w:p>
      <w:pPr>
        <w:pStyle w:val="Heading1"/>
      </w:pPr>
      <w:r>
        <w:t>4. Deployment Model</w:t>
      </w:r>
    </w:p>
    <w:p>
      <w:pPr>
        <w:pStyle w:val="Heading2"/>
      </w:pPr>
      <w:r>
        <w:t>4.1 Initial Deployment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shd w:fill="1F4E78"/>
            <w:tcMar>
              <w:top w:w="80" w:type="dxa"/>
              <w:start w:w="80" w:type="dxa"/>
              <w:bottom w:w="80" w:type="dxa"/>
              <w:end w:w="80" w:type="dxa"/>
            </w:tcMar>
            <w:vAlign w:val="center"/>
          </w:tcPr>
          <w:p>
            <w:pPr>
              <w:spacing w:after="40"/>
            </w:pPr>
            <w:r>
              <w:rPr>
                <w:b/>
                <w:color w:val="FFFFFF"/>
              </w:rPr>
              <w:t>Layer</w:t>
            </w:r>
          </w:p>
        </w:tc>
        <w:tc>
          <w:tcPr>
            <w:tcW w:type="dxa" w:w="2880"/>
            <w:shd w:fill="1F4E78"/>
            <w:tcMar>
              <w:top w:w="80" w:type="dxa"/>
              <w:start w:w="80" w:type="dxa"/>
              <w:bottom w:w="80" w:type="dxa"/>
              <w:end w:w="80" w:type="dxa"/>
            </w:tcMar>
            <w:vAlign w:val="center"/>
          </w:tcPr>
          <w:p>
            <w:pPr>
              <w:spacing w:after="40"/>
            </w:pPr>
            <w:r>
              <w:rPr>
                <w:b/>
                <w:color w:val="FFFFFF"/>
              </w:rPr>
              <w:t>Initial Platform</w:t>
            </w:r>
          </w:p>
        </w:tc>
        <w:tc>
          <w:tcPr>
            <w:tcW w:type="dxa" w:w="5904"/>
            <w:shd w:fill="1F4E78"/>
            <w:tcMar>
              <w:top w:w="80" w:type="dxa"/>
              <w:start w:w="80" w:type="dxa"/>
              <w:bottom w:w="80" w:type="dxa"/>
              <w:end w:w="80" w:type="dxa"/>
            </w:tcMar>
            <w:vAlign w:val="center"/>
          </w:tcPr>
          <w:p>
            <w:pPr>
              <w:spacing w:after="40"/>
            </w:pPr>
            <w:r>
              <w:rPr>
                <w:b/>
                <w:color w:val="FFFFFF"/>
              </w:rPr>
              <w:t>Notes</w:t>
            </w:r>
          </w:p>
        </w:tc>
      </w:tr>
      <w:tr>
        <w:tc>
          <w:tcPr>
            <w:tcW w:type="dxa" w:w="2160"/>
            <w:tcMar>
              <w:top w:w="80" w:type="dxa"/>
              <w:start w:w="80" w:type="dxa"/>
              <w:bottom w:w="80" w:type="dxa"/>
              <w:end w:w="80" w:type="dxa"/>
            </w:tcMar>
            <w:vAlign w:val="top"/>
          </w:tcPr>
          <w:p>
            <w:pPr>
              <w:spacing w:after="40"/>
            </w:pPr>
            <w:r>
              <w:t>Frontend Apps</w:t>
            </w:r>
          </w:p>
        </w:tc>
        <w:tc>
          <w:tcPr>
            <w:tcW w:type="dxa" w:w="2880"/>
            <w:tcMar>
              <w:top w:w="80" w:type="dxa"/>
              <w:start w:w="80" w:type="dxa"/>
              <w:bottom w:w="80" w:type="dxa"/>
              <w:end w:w="80" w:type="dxa"/>
            </w:tcMar>
            <w:vAlign w:val="top"/>
          </w:tcPr>
          <w:p>
            <w:pPr>
              <w:spacing w:after="40"/>
            </w:pPr>
            <w:r>
              <w:t>Vercel</w:t>
            </w:r>
          </w:p>
        </w:tc>
        <w:tc>
          <w:tcPr>
            <w:tcW w:type="dxa" w:w="5904"/>
            <w:tcMar>
              <w:top w:w="80" w:type="dxa"/>
              <w:start w:w="80" w:type="dxa"/>
              <w:bottom w:w="80" w:type="dxa"/>
              <w:end w:w="80" w:type="dxa"/>
            </w:tcMar>
            <w:vAlign w:val="top"/>
          </w:tcPr>
          <w:p>
            <w:pPr>
              <w:spacing w:after="40"/>
            </w:pPr>
            <w:r>
              <w:t>Next.js/React apps, dashboards, and public web/mobile web experiences. Vercel Functions can support API routes, but critical identity APIs should remain in HEIMDALL backend services.</w:t>
            </w:r>
          </w:p>
        </w:tc>
      </w:tr>
      <w:tr>
        <w:tc>
          <w:tcPr>
            <w:tcW w:type="dxa" w:w="2160"/>
            <w:tcMar>
              <w:top w:w="80" w:type="dxa"/>
              <w:start w:w="80" w:type="dxa"/>
              <w:bottom w:w="80" w:type="dxa"/>
              <w:end w:w="80" w:type="dxa"/>
            </w:tcMar>
            <w:vAlign w:val="top"/>
          </w:tcPr>
          <w:p>
            <w:pPr>
              <w:spacing w:after="40"/>
            </w:pPr>
            <w:r>
              <w:t>Database</w:t>
            </w:r>
          </w:p>
        </w:tc>
        <w:tc>
          <w:tcPr>
            <w:tcW w:type="dxa" w:w="2880"/>
            <w:tcMar>
              <w:top w:w="80" w:type="dxa"/>
              <w:start w:w="80" w:type="dxa"/>
              <w:bottom w:w="80" w:type="dxa"/>
              <w:end w:w="80" w:type="dxa"/>
            </w:tcMar>
            <w:vAlign w:val="top"/>
          </w:tcPr>
          <w:p>
            <w:pPr>
              <w:spacing w:after="40"/>
            </w:pPr>
            <w:r>
              <w:t>Supabase Postgres</w:t>
            </w:r>
          </w:p>
        </w:tc>
        <w:tc>
          <w:tcPr>
            <w:tcW w:type="dxa" w:w="5904"/>
            <w:tcMar>
              <w:top w:w="80" w:type="dxa"/>
              <w:start w:w="80" w:type="dxa"/>
              <w:bottom w:w="80" w:type="dxa"/>
              <w:end w:w="80" w:type="dxa"/>
            </w:tcMar>
            <w:vAlign w:val="top"/>
          </w:tcPr>
          <w:p>
            <w:pPr>
              <w:spacing w:after="40"/>
            </w:pPr>
            <w:r>
              <w:t>Primary HEIMDALL database using PostgreSQL-compatible schema. Supabase Realtime and Edge Functions may support non-critical workflows.</w:t>
            </w:r>
          </w:p>
        </w:tc>
      </w:tr>
      <w:tr>
        <w:tc>
          <w:tcPr>
            <w:tcW w:type="dxa" w:w="2160"/>
            <w:tcMar>
              <w:top w:w="80" w:type="dxa"/>
              <w:start w:w="80" w:type="dxa"/>
              <w:bottom w:w="80" w:type="dxa"/>
              <w:end w:w="80" w:type="dxa"/>
            </w:tcMar>
            <w:vAlign w:val="top"/>
          </w:tcPr>
          <w:p>
            <w:pPr>
              <w:spacing w:after="40"/>
            </w:pPr>
            <w:r>
              <w:t>Backend Services</w:t>
            </w:r>
          </w:p>
        </w:tc>
        <w:tc>
          <w:tcPr>
            <w:tcW w:type="dxa" w:w="2880"/>
            <w:tcMar>
              <w:top w:w="80" w:type="dxa"/>
              <w:start w:w="80" w:type="dxa"/>
              <w:bottom w:w="80" w:type="dxa"/>
              <w:end w:w="80" w:type="dxa"/>
            </w:tcMar>
            <w:vAlign w:val="top"/>
          </w:tcPr>
          <w:p>
            <w:pPr>
              <w:spacing w:after="40"/>
            </w:pPr>
            <w:r>
              <w:t>Containerized TypeScript/.NET service on Gigalixir/Fly/Render/ECS-ready container target</w:t>
            </w:r>
          </w:p>
        </w:tc>
        <w:tc>
          <w:tcPr>
            <w:tcW w:type="dxa" w:w="5904"/>
            <w:tcMar>
              <w:top w:w="80" w:type="dxa"/>
              <w:start w:w="80" w:type="dxa"/>
              <w:bottom w:w="80" w:type="dxa"/>
              <w:end w:w="80" w:type="dxa"/>
            </w:tcMar>
            <w:vAlign w:val="top"/>
          </w:tcPr>
          <w:p>
            <w:pPr>
              <w:spacing w:after="40"/>
            </w:pPr>
            <w:r>
              <w:t>HEIMDALL Core API should be containerized from the start, even if deployed outside AWS initially.</w:t>
            </w:r>
          </w:p>
        </w:tc>
      </w:tr>
      <w:tr>
        <w:tc>
          <w:tcPr>
            <w:tcW w:type="dxa" w:w="2160"/>
            <w:tcMar>
              <w:top w:w="80" w:type="dxa"/>
              <w:start w:w="80" w:type="dxa"/>
              <w:bottom w:w="80" w:type="dxa"/>
              <w:end w:w="80" w:type="dxa"/>
            </w:tcMar>
            <w:vAlign w:val="top"/>
          </w:tcPr>
          <w:p>
            <w:pPr>
              <w:spacing w:after="40"/>
            </w:pPr>
            <w:r>
              <w:t>Auth Broker</w:t>
            </w:r>
          </w:p>
        </w:tc>
        <w:tc>
          <w:tcPr>
            <w:tcW w:type="dxa" w:w="2880"/>
            <w:tcMar>
              <w:top w:w="80" w:type="dxa"/>
              <w:start w:w="80" w:type="dxa"/>
              <w:bottom w:w="80" w:type="dxa"/>
              <w:end w:w="80" w:type="dxa"/>
            </w:tcMar>
            <w:vAlign w:val="top"/>
          </w:tcPr>
          <w:p>
            <w:pPr>
              <w:spacing w:after="40"/>
            </w:pPr>
            <w:r>
              <w:t>Containerized Keycloak</w:t>
            </w:r>
          </w:p>
        </w:tc>
        <w:tc>
          <w:tcPr>
            <w:tcW w:type="dxa" w:w="5904"/>
            <w:tcMar>
              <w:top w:w="80" w:type="dxa"/>
              <w:start w:w="80" w:type="dxa"/>
              <w:bottom w:w="80" w:type="dxa"/>
              <w:end w:w="80" w:type="dxa"/>
            </w:tcMar>
            <w:vAlign w:val="top"/>
          </w:tcPr>
          <w:p>
            <w:pPr>
              <w:spacing w:after="40"/>
            </w:pPr>
            <w:r>
              <w:t>Run as a dedicated service with its own database/schema and production-grade backups.</w:t>
            </w:r>
          </w:p>
        </w:tc>
      </w:tr>
      <w:tr>
        <w:tc>
          <w:tcPr>
            <w:tcW w:type="dxa" w:w="2160"/>
            <w:tcMar>
              <w:top w:w="80" w:type="dxa"/>
              <w:start w:w="80" w:type="dxa"/>
              <w:bottom w:w="80" w:type="dxa"/>
              <w:end w:w="80" w:type="dxa"/>
            </w:tcMar>
            <w:vAlign w:val="top"/>
          </w:tcPr>
          <w:p>
            <w:pPr>
              <w:spacing w:after="40"/>
            </w:pPr>
            <w:r>
              <w:t>Secrets Layer</w:t>
            </w:r>
          </w:p>
        </w:tc>
        <w:tc>
          <w:tcPr>
            <w:tcW w:type="dxa" w:w="2880"/>
            <w:tcMar>
              <w:top w:w="80" w:type="dxa"/>
              <w:start w:w="80" w:type="dxa"/>
              <w:bottom w:w="80" w:type="dxa"/>
              <w:end w:w="80" w:type="dxa"/>
            </w:tcMar>
            <w:vAlign w:val="top"/>
          </w:tcPr>
          <w:p>
            <w:pPr>
              <w:spacing w:after="40"/>
            </w:pPr>
            <w:r>
              <w:t>Vault-compatible service</w:t>
            </w:r>
          </w:p>
        </w:tc>
        <w:tc>
          <w:tcPr>
            <w:tcW w:type="dxa" w:w="5904"/>
            <w:tcMar>
              <w:top w:w="80" w:type="dxa"/>
              <w:start w:w="80" w:type="dxa"/>
              <w:bottom w:w="80" w:type="dxa"/>
              <w:end w:w="80" w:type="dxa"/>
            </w:tcMar>
            <w:vAlign w:val="top"/>
          </w:tcPr>
          <w:p>
            <w:pPr>
              <w:spacing w:after="40"/>
            </w:pPr>
            <w:r>
              <w:t>Start with self-managed Vault or Vault-compatible abstraction; do not hard-code direct AWS dependency.</w:t>
            </w:r>
          </w:p>
        </w:tc>
      </w:tr>
      <w:tr>
        <w:tc>
          <w:tcPr>
            <w:tcW w:type="dxa" w:w="2160"/>
            <w:tcMar>
              <w:top w:w="80" w:type="dxa"/>
              <w:start w:w="80" w:type="dxa"/>
              <w:bottom w:w="80" w:type="dxa"/>
              <w:end w:w="80" w:type="dxa"/>
            </w:tcMar>
            <w:vAlign w:val="top"/>
          </w:tcPr>
          <w:p>
            <w:pPr>
              <w:spacing w:after="40"/>
            </w:pPr>
            <w:r>
              <w:t>Events</w:t>
            </w:r>
          </w:p>
        </w:tc>
        <w:tc>
          <w:tcPr>
            <w:tcW w:type="dxa" w:w="2880"/>
            <w:tcMar>
              <w:top w:w="80" w:type="dxa"/>
              <w:start w:w="80" w:type="dxa"/>
              <w:bottom w:w="80" w:type="dxa"/>
              <w:end w:w="80" w:type="dxa"/>
            </w:tcMar>
            <w:vAlign w:val="top"/>
          </w:tcPr>
          <w:p>
            <w:pPr>
              <w:spacing w:after="40"/>
            </w:pPr>
            <w:r>
              <w:t>Postgres event tables + webhooks + queue abstraction</w:t>
            </w:r>
          </w:p>
        </w:tc>
        <w:tc>
          <w:tcPr>
            <w:tcW w:type="dxa" w:w="5904"/>
            <w:tcMar>
              <w:top w:w="80" w:type="dxa"/>
              <w:start w:w="80" w:type="dxa"/>
              <w:bottom w:w="80" w:type="dxa"/>
              <w:end w:w="80" w:type="dxa"/>
            </w:tcMar>
            <w:vAlign w:val="top"/>
          </w:tcPr>
          <w:p>
            <w:pPr>
              <w:spacing w:after="40"/>
            </w:pPr>
            <w:r>
              <w:t>Design for later EventBridge/SQS/SNS migration.</w:t>
            </w:r>
          </w:p>
        </w:tc>
      </w:tr>
    </w:tbl>
    <w:p/>
    <w:p>
      <w:pPr>
        <w:pStyle w:val="Heading2"/>
      </w:pPr>
      <w:r>
        <w:t>4.2 AWS-Ready Migration Path</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1F4E78"/>
            <w:tcMar>
              <w:top w:w="80" w:type="dxa"/>
              <w:start w:w="80" w:type="dxa"/>
              <w:bottom w:w="80" w:type="dxa"/>
              <w:end w:w="80" w:type="dxa"/>
            </w:tcMar>
            <w:vAlign w:val="center"/>
          </w:tcPr>
          <w:p>
            <w:pPr>
              <w:spacing w:after="40"/>
            </w:pPr>
            <w:r>
              <w:rPr>
                <w:b/>
                <w:color w:val="FFFFFF"/>
              </w:rPr>
              <w:t>Current Capability</w:t>
            </w:r>
          </w:p>
        </w:tc>
        <w:tc>
          <w:tcPr>
            <w:tcW w:type="dxa" w:w="3168"/>
            <w:shd w:fill="1F4E78"/>
            <w:tcMar>
              <w:top w:w="80" w:type="dxa"/>
              <w:start w:w="80" w:type="dxa"/>
              <w:bottom w:w="80" w:type="dxa"/>
              <w:end w:w="80" w:type="dxa"/>
            </w:tcMar>
            <w:vAlign w:val="center"/>
          </w:tcPr>
          <w:p>
            <w:pPr>
              <w:spacing w:after="40"/>
            </w:pPr>
            <w:r>
              <w:rPr>
                <w:b/>
                <w:color w:val="FFFFFF"/>
              </w:rPr>
              <w:t>AWS-Ready Target</w:t>
            </w:r>
          </w:p>
        </w:tc>
        <w:tc>
          <w:tcPr>
            <w:tcW w:type="dxa" w:w="4896"/>
            <w:shd w:fill="1F4E78"/>
            <w:tcMar>
              <w:top w:w="80" w:type="dxa"/>
              <w:start w:w="80" w:type="dxa"/>
              <w:bottom w:w="80" w:type="dxa"/>
              <w:end w:w="80" w:type="dxa"/>
            </w:tcMar>
            <w:vAlign w:val="center"/>
          </w:tcPr>
          <w:p>
            <w:pPr>
              <w:spacing w:after="40"/>
            </w:pPr>
            <w:r>
              <w:rPr>
                <w:b/>
                <w:color w:val="FFFFFF"/>
              </w:rPr>
              <w:t>Design Requirement</w:t>
            </w:r>
          </w:p>
        </w:tc>
      </w:tr>
      <w:tr>
        <w:tc>
          <w:tcPr>
            <w:tcW w:type="dxa" w:w="2880"/>
            <w:tcMar>
              <w:top w:w="80" w:type="dxa"/>
              <w:start w:w="80" w:type="dxa"/>
              <w:bottom w:w="80" w:type="dxa"/>
              <w:end w:w="80" w:type="dxa"/>
            </w:tcMar>
            <w:vAlign w:val="top"/>
          </w:tcPr>
          <w:p>
            <w:pPr>
              <w:spacing w:after="40"/>
            </w:pPr>
            <w:r>
              <w:t>Supabase Postgres</w:t>
            </w:r>
          </w:p>
        </w:tc>
        <w:tc>
          <w:tcPr>
            <w:tcW w:type="dxa" w:w="3168"/>
            <w:tcMar>
              <w:top w:w="80" w:type="dxa"/>
              <w:start w:w="80" w:type="dxa"/>
              <w:bottom w:w="80" w:type="dxa"/>
              <w:end w:w="80" w:type="dxa"/>
            </w:tcMar>
            <w:vAlign w:val="top"/>
          </w:tcPr>
          <w:p>
            <w:pPr>
              <w:spacing w:after="40"/>
            </w:pPr>
            <w:r>
              <w:t>Amazon RDS PostgreSQL or Aurora PostgreSQL</w:t>
            </w:r>
          </w:p>
        </w:tc>
        <w:tc>
          <w:tcPr>
            <w:tcW w:type="dxa" w:w="4896"/>
            <w:tcMar>
              <w:top w:w="80" w:type="dxa"/>
              <w:start w:w="80" w:type="dxa"/>
              <w:bottom w:w="80" w:type="dxa"/>
              <w:end w:w="80" w:type="dxa"/>
            </w:tcMar>
            <w:vAlign w:val="top"/>
          </w:tcPr>
          <w:p>
            <w:pPr>
              <w:spacing w:after="40"/>
            </w:pPr>
            <w:r>
              <w:t>Use portable SQL, migrations, and no Supabase-only dependency in core identity logic.</w:t>
            </w:r>
          </w:p>
        </w:tc>
      </w:tr>
      <w:tr>
        <w:tc>
          <w:tcPr>
            <w:tcW w:type="dxa" w:w="2880"/>
            <w:tcMar>
              <w:top w:w="80" w:type="dxa"/>
              <w:start w:w="80" w:type="dxa"/>
              <w:bottom w:w="80" w:type="dxa"/>
              <w:end w:w="80" w:type="dxa"/>
            </w:tcMar>
            <w:vAlign w:val="top"/>
          </w:tcPr>
          <w:p>
            <w:pPr>
              <w:spacing w:after="40"/>
            </w:pPr>
            <w:r>
              <w:t>Containerized HEIMDALL API</w:t>
            </w:r>
          </w:p>
        </w:tc>
        <w:tc>
          <w:tcPr>
            <w:tcW w:type="dxa" w:w="3168"/>
            <w:tcMar>
              <w:top w:w="80" w:type="dxa"/>
              <w:start w:w="80" w:type="dxa"/>
              <w:bottom w:w="80" w:type="dxa"/>
              <w:end w:w="80" w:type="dxa"/>
            </w:tcMar>
            <w:vAlign w:val="top"/>
          </w:tcPr>
          <w:p>
            <w:pPr>
              <w:spacing w:after="40"/>
            </w:pPr>
            <w:r>
              <w:t>ECS Fargate, EKS, App Runner, or Lambda for selected functions</w:t>
            </w:r>
          </w:p>
        </w:tc>
        <w:tc>
          <w:tcPr>
            <w:tcW w:type="dxa" w:w="4896"/>
            <w:tcMar>
              <w:top w:w="80" w:type="dxa"/>
              <w:start w:w="80" w:type="dxa"/>
              <w:bottom w:w="80" w:type="dxa"/>
              <w:end w:w="80" w:type="dxa"/>
            </w:tcMar>
            <w:vAlign w:val="top"/>
          </w:tcPr>
          <w:p>
            <w:pPr>
              <w:spacing w:after="40"/>
            </w:pPr>
            <w:r>
              <w:t>Package service as OCI container and keep environment configuration externalized.</w:t>
            </w:r>
          </w:p>
        </w:tc>
      </w:tr>
      <w:tr>
        <w:tc>
          <w:tcPr>
            <w:tcW w:type="dxa" w:w="2880"/>
            <w:tcMar>
              <w:top w:w="80" w:type="dxa"/>
              <w:start w:w="80" w:type="dxa"/>
              <w:bottom w:w="80" w:type="dxa"/>
              <w:end w:w="80" w:type="dxa"/>
            </w:tcMar>
            <w:vAlign w:val="top"/>
          </w:tcPr>
          <w:p>
            <w:pPr>
              <w:spacing w:after="40"/>
            </w:pPr>
            <w:r>
              <w:t>Keycloak Container</w:t>
            </w:r>
          </w:p>
        </w:tc>
        <w:tc>
          <w:tcPr>
            <w:tcW w:type="dxa" w:w="3168"/>
            <w:tcMar>
              <w:top w:w="80" w:type="dxa"/>
              <w:start w:w="80" w:type="dxa"/>
              <w:bottom w:w="80" w:type="dxa"/>
              <w:end w:w="80" w:type="dxa"/>
            </w:tcMar>
            <w:vAlign w:val="top"/>
          </w:tcPr>
          <w:p>
            <w:pPr>
              <w:spacing w:after="40"/>
            </w:pPr>
            <w:r>
              <w:t>ECS/EKS/EC2 with RDS backend</w:t>
            </w:r>
          </w:p>
        </w:tc>
        <w:tc>
          <w:tcPr>
            <w:tcW w:type="dxa" w:w="4896"/>
            <w:tcMar>
              <w:top w:w="80" w:type="dxa"/>
              <w:start w:w="80" w:type="dxa"/>
              <w:bottom w:w="80" w:type="dxa"/>
              <w:end w:w="80" w:type="dxa"/>
            </w:tcMar>
            <w:vAlign w:val="top"/>
          </w:tcPr>
          <w:p>
            <w:pPr>
              <w:spacing w:after="40"/>
            </w:pPr>
            <w:r>
              <w:t>Separate Keycloak config, themes, and realm exports from app code.</w:t>
            </w:r>
          </w:p>
        </w:tc>
      </w:tr>
      <w:tr>
        <w:tc>
          <w:tcPr>
            <w:tcW w:type="dxa" w:w="2880"/>
            <w:tcMar>
              <w:top w:w="80" w:type="dxa"/>
              <w:start w:w="80" w:type="dxa"/>
              <w:bottom w:w="80" w:type="dxa"/>
              <w:end w:w="80" w:type="dxa"/>
            </w:tcMar>
            <w:vAlign w:val="top"/>
          </w:tcPr>
          <w:p>
            <w:pPr>
              <w:spacing w:after="40"/>
            </w:pPr>
            <w:r>
              <w:t>Vault-Compatible Layer</w:t>
            </w:r>
          </w:p>
        </w:tc>
        <w:tc>
          <w:tcPr>
            <w:tcW w:type="dxa" w:w="3168"/>
            <w:tcMar>
              <w:top w:w="80" w:type="dxa"/>
              <w:start w:w="80" w:type="dxa"/>
              <w:bottom w:w="80" w:type="dxa"/>
              <w:end w:w="80" w:type="dxa"/>
            </w:tcMar>
            <w:vAlign w:val="top"/>
          </w:tcPr>
          <w:p>
            <w:pPr>
              <w:spacing w:after="40"/>
            </w:pPr>
            <w:r>
              <w:t>Self-managed Vault on AWS, HCP Vault, or AWS Secrets Manager + KMS adapter</w:t>
            </w:r>
          </w:p>
        </w:tc>
        <w:tc>
          <w:tcPr>
            <w:tcW w:type="dxa" w:w="4896"/>
            <w:tcMar>
              <w:top w:w="80" w:type="dxa"/>
              <w:start w:w="80" w:type="dxa"/>
              <w:bottom w:w="80" w:type="dxa"/>
              <w:end w:w="80" w:type="dxa"/>
            </w:tcMar>
            <w:vAlign w:val="top"/>
          </w:tcPr>
          <w:p>
            <w:pPr>
              <w:spacing w:after="40"/>
            </w:pPr>
            <w:r>
              <w:t>Use a secrets provider interface so Vault can be swapped or bridged.</w:t>
            </w:r>
          </w:p>
        </w:tc>
      </w:tr>
      <w:tr>
        <w:tc>
          <w:tcPr>
            <w:tcW w:type="dxa" w:w="2880"/>
            <w:tcMar>
              <w:top w:w="80" w:type="dxa"/>
              <w:start w:w="80" w:type="dxa"/>
              <w:bottom w:w="80" w:type="dxa"/>
              <w:end w:w="80" w:type="dxa"/>
            </w:tcMar>
            <w:vAlign w:val="top"/>
          </w:tcPr>
          <w:p>
            <w:pPr>
              <w:spacing w:after="40"/>
            </w:pPr>
            <w:r>
              <w:t>Webhook/Event Tables</w:t>
            </w:r>
          </w:p>
        </w:tc>
        <w:tc>
          <w:tcPr>
            <w:tcW w:type="dxa" w:w="3168"/>
            <w:tcMar>
              <w:top w:w="80" w:type="dxa"/>
              <w:start w:w="80" w:type="dxa"/>
              <w:bottom w:w="80" w:type="dxa"/>
              <w:end w:w="80" w:type="dxa"/>
            </w:tcMar>
            <w:vAlign w:val="top"/>
          </w:tcPr>
          <w:p>
            <w:pPr>
              <w:spacing w:after="40"/>
            </w:pPr>
            <w:r>
              <w:t>EventBridge, SQS, SNS, Step Functions</w:t>
            </w:r>
          </w:p>
        </w:tc>
        <w:tc>
          <w:tcPr>
            <w:tcW w:type="dxa" w:w="4896"/>
            <w:tcMar>
              <w:top w:w="80" w:type="dxa"/>
              <w:start w:w="80" w:type="dxa"/>
              <w:bottom w:w="80" w:type="dxa"/>
              <w:end w:w="80" w:type="dxa"/>
            </w:tcMar>
            <w:vAlign w:val="top"/>
          </w:tcPr>
          <w:p>
            <w:pPr>
              <w:spacing w:after="40"/>
            </w:pPr>
            <w:r>
              <w:t>Use event abstraction and durable event ledger.</w:t>
            </w:r>
          </w:p>
        </w:tc>
      </w:tr>
      <w:tr>
        <w:tc>
          <w:tcPr>
            <w:tcW w:type="dxa" w:w="2880"/>
            <w:tcMar>
              <w:top w:w="80" w:type="dxa"/>
              <w:start w:w="80" w:type="dxa"/>
              <w:bottom w:w="80" w:type="dxa"/>
              <w:end w:w="80" w:type="dxa"/>
            </w:tcMar>
            <w:vAlign w:val="top"/>
          </w:tcPr>
          <w:p>
            <w:pPr>
              <w:spacing w:after="40"/>
            </w:pPr>
            <w:r>
              <w:t>Vercel Frontends</w:t>
            </w:r>
          </w:p>
        </w:tc>
        <w:tc>
          <w:tcPr>
            <w:tcW w:type="dxa" w:w="3168"/>
            <w:tcMar>
              <w:top w:w="80" w:type="dxa"/>
              <w:start w:w="80" w:type="dxa"/>
              <w:bottom w:w="80" w:type="dxa"/>
              <w:end w:w="80" w:type="dxa"/>
            </w:tcMar>
            <w:vAlign w:val="top"/>
          </w:tcPr>
          <w:p>
            <w:pPr>
              <w:spacing w:after="40"/>
            </w:pPr>
            <w:r>
              <w:t>CloudFront/S3/Amplify optional</w:t>
            </w:r>
          </w:p>
        </w:tc>
        <w:tc>
          <w:tcPr>
            <w:tcW w:type="dxa" w:w="4896"/>
            <w:tcMar>
              <w:top w:w="80" w:type="dxa"/>
              <w:start w:w="80" w:type="dxa"/>
              <w:bottom w:w="80" w:type="dxa"/>
              <w:end w:w="80" w:type="dxa"/>
            </w:tcMar>
            <w:vAlign w:val="top"/>
          </w:tcPr>
          <w:p>
            <w:pPr>
              <w:spacing w:after="40"/>
            </w:pPr>
            <w:r>
              <w:t>Keep API endpoint configuration environment-driven.</w:t>
            </w:r>
          </w:p>
        </w:tc>
      </w:tr>
      <w:tr>
        <w:tc>
          <w:tcPr>
            <w:tcW w:type="dxa" w:w="2880"/>
            <w:tcMar>
              <w:top w:w="80" w:type="dxa"/>
              <w:start w:w="80" w:type="dxa"/>
              <w:bottom w:w="80" w:type="dxa"/>
              <w:end w:w="80" w:type="dxa"/>
            </w:tcMar>
            <w:vAlign w:val="top"/>
          </w:tcPr>
          <w:p>
            <w:pPr>
              <w:spacing w:after="40"/>
            </w:pPr>
            <w:r>
              <w:t>Audit Logs</w:t>
            </w:r>
          </w:p>
        </w:tc>
        <w:tc>
          <w:tcPr>
            <w:tcW w:type="dxa" w:w="3168"/>
            <w:tcMar>
              <w:top w:w="80" w:type="dxa"/>
              <w:start w:w="80" w:type="dxa"/>
              <w:bottom w:w="80" w:type="dxa"/>
              <w:end w:w="80" w:type="dxa"/>
            </w:tcMar>
            <w:vAlign w:val="top"/>
          </w:tcPr>
          <w:p>
            <w:pPr>
              <w:spacing w:after="40"/>
            </w:pPr>
            <w:r>
              <w:t>CloudWatch, CloudTrail, S3 Object Lock/Glacier</w:t>
            </w:r>
          </w:p>
        </w:tc>
        <w:tc>
          <w:tcPr>
            <w:tcW w:type="dxa" w:w="4896"/>
            <w:tcMar>
              <w:top w:w="80" w:type="dxa"/>
              <w:start w:w="80" w:type="dxa"/>
              <w:bottom w:w="80" w:type="dxa"/>
              <w:end w:w="80" w:type="dxa"/>
            </w:tcMar>
            <w:vAlign w:val="top"/>
          </w:tcPr>
          <w:p>
            <w:pPr>
              <w:spacing w:after="40"/>
            </w:pPr>
            <w:r>
              <w:t>Create append-only audit export format now.</w:t>
            </w:r>
          </w:p>
        </w:tc>
      </w:tr>
    </w:tbl>
    <w:p/>
    <w:p>
      <w:pPr>
        <w:pStyle w:val="Heading1"/>
      </w:pPr>
      <w:r>
        <w:t>5. Identity Requirements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080"/>
            <w:shd w:fill="1F4E78"/>
            <w:tcMar>
              <w:top w:w="80" w:type="dxa"/>
              <w:start w:w="80" w:type="dxa"/>
              <w:bottom w:w="80" w:type="dxa"/>
              <w:end w:w="80" w:type="dxa"/>
            </w:tcMar>
            <w:vAlign w:val="center"/>
          </w:tcPr>
          <w:p>
            <w:pPr>
              <w:spacing w:after="40"/>
            </w:pPr>
            <w:r>
              <w:rPr>
                <w:b/>
                <w:color w:val="FFFFFF"/>
              </w:rPr>
              <w:t>ID</w:t>
            </w:r>
          </w:p>
        </w:tc>
        <w:tc>
          <w:tcPr>
            <w:tcW w:type="dxa" w:w="1944"/>
            <w:shd w:fill="1F4E78"/>
            <w:tcMar>
              <w:top w:w="80" w:type="dxa"/>
              <w:start w:w="80" w:type="dxa"/>
              <w:bottom w:w="80" w:type="dxa"/>
              <w:end w:w="80" w:type="dxa"/>
            </w:tcMar>
            <w:vAlign w:val="center"/>
          </w:tcPr>
          <w:p>
            <w:pPr>
              <w:spacing w:after="40"/>
            </w:pPr>
            <w:r>
              <w:rPr>
                <w:b/>
                <w:color w:val="FFFFFF"/>
              </w:rPr>
              <w:t>Category</w:t>
            </w:r>
          </w:p>
        </w:tc>
        <w:tc>
          <w:tcPr>
            <w:tcW w:type="dxa" w:w="5760"/>
            <w:shd w:fill="1F4E78"/>
            <w:tcMar>
              <w:top w:w="80" w:type="dxa"/>
              <w:start w:w="80" w:type="dxa"/>
              <w:bottom w:w="80" w:type="dxa"/>
              <w:end w:w="80" w:type="dxa"/>
            </w:tcMar>
            <w:vAlign w:val="center"/>
          </w:tcPr>
          <w:p>
            <w:pPr>
              <w:spacing w:after="40"/>
            </w:pPr>
            <w:r>
              <w:rPr>
                <w:b/>
                <w:color w:val="FFFFFF"/>
              </w:rPr>
              <w:t>Requirement</w:t>
            </w:r>
          </w:p>
        </w:tc>
        <w:tc>
          <w:tcPr>
            <w:tcW w:type="dxa" w:w="1296"/>
            <w:shd w:fill="1F4E78"/>
            <w:tcMar>
              <w:top w:w="80" w:type="dxa"/>
              <w:start w:w="80" w:type="dxa"/>
              <w:bottom w:w="80" w:type="dxa"/>
              <w:end w:w="80" w:type="dxa"/>
            </w:tcMar>
            <w:vAlign w:val="center"/>
          </w:tcPr>
          <w:p>
            <w:pPr>
              <w:spacing w:after="40"/>
            </w:pPr>
            <w:r>
              <w:rPr>
                <w:b/>
                <w:color w:val="FFFFFF"/>
              </w:rPr>
              <w:t>Phase</w:t>
            </w:r>
          </w:p>
        </w:tc>
        <w:tc>
          <w:tcPr>
            <w:tcW w:type="dxa" w:w="1152"/>
            <w:shd w:fill="1F4E78"/>
            <w:tcMar>
              <w:top w:w="80" w:type="dxa"/>
              <w:start w:w="80" w:type="dxa"/>
              <w:bottom w:w="80" w:type="dxa"/>
              <w:end w:w="80" w:type="dxa"/>
            </w:tcMar>
            <w:vAlign w:val="center"/>
          </w:tcPr>
          <w:p>
            <w:pPr>
              <w:spacing w:after="40"/>
            </w:pPr>
            <w:r>
              <w:rPr>
                <w:b/>
                <w:color w:val="FFFFFF"/>
              </w:rPr>
              <w:t>Priority</w:t>
            </w:r>
          </w:p>
        </w:tc>
      </w:tr>
      <w:tr>
        <w:tc>
          <w:tcPr>
            <w:tcW w:type="dxa" w:w="1080"/>
            <w:tcMar>
              <w:top w:w="80" w:type="dxa"/>
              <w:start w:w="80" w:type="dxa"/>
              <w:bottom w:w="80" w:type="dxa"/>
              <w:end w:w="80" w:type="dxa"/>
            </w:tcMar>
            <w:vAlign w:val="top"/>
          </w:tcPr>
          <w:p>
            <w:pPr>
              <w:spacing w:after="40"/>
            </w:pPr>
            <w:r>
              <w:t>ID-001</w:t>
            </w:r>
          </w:p>
        </w:tc>
        <w:tc>
          <w:tcPr>
            <w:tcW w:type="dxa" w:w="1944"/>
            <w:tcMar>
              <w:top w:w="80" w:type="dxa"/>
              <w:start w:w="80" w:type="dxa"/>
              <w:bottom w:w="80" w:type="dxa"/>
              <w:end w:w="80" w:type="dxa"/>
            </w:tcMar>
            <w:vAlign w:val="top"/>
          </w:tcPr>
          <w:p>
            <w:pPr>
              <w:spacing w:after="40"/>
            </w:pPr>
            <w:r>
              <w:t>Parent Identity</w:t>
            </w:r>
          </w:p>
        </w:tc>
        <w:tc>
          <w:tcPr>
            <w:tcW w:type="dxa" w:w="5760"/>
            <w:tcMar>
              <w:top w:w="80" w:type="dxa"/>
              <w:start w:w="80" w:type="dxa"/>
              <w:bottom w:w="80" w:type="dxa"/>
              <w:end w:w="80" w:type="dxa"/>
            </w:tcMar>
            <w:vAlign w:val="top"/>
          </w:tcPr>
          <w:p>
            <w:pPr>
              <w:spacing w:after="40"/>
            </w:pPr>
            <w:r>
              <w:t>HEIMDALL shall create and maintain Parent UUIDs as the central identity anchor.</w:t>
            </w:r>
          </w:p>
        </w:tc>
        <w:tc>
          <w:tcPr>
            <w:tcW w:type="dxa" w:w="1296"/>
            <w:tcMar>
              <w:top w:w="80" w:type="dxa"/>
              <w:start w:w="80" w:type="dxa"/>
              <w:bottom w:w="80" w:type="dxa"/>
              <w:end w:w="80" w:type="dxa"/>
            </w:tcMar>
            <w:vAlign w:val="top"/>
          </w:tcPr>
          <w:p>
            <w:pPr>
              <w:spacing w:after="40"/>
            </w:pPr>
            <w:r>
              <w:t>MVP</w:t>
            </w:r>
          </w:p>
        </w:tc>
        <w:tc>
          <w:tcPr>
            <w:tcW w:type="dxa" w:w="1152"/>
            <w:tcMar>
              <w:top w:w="80" w:type="dxa"/>
              <w:start w:w="80" w:type="dxa"/>
              <w:bottom w:w="80" w:type="dxa"/>
              <w:end w:w="80" w:type="dxa"/>
            </w:tcMar>
            <w:vAlign w:val="top"/>
          </w:tcPr>
          <w:p>
            <w:pPr>
              <w:spacing w:after="40"/>
            </w:pPr>
            <w:r>
              <w:t>Must</w:t>
            </w:r>
          </w:p>
        </w:tc>
      </w:tr>
      <w:tr>
        <w:tc>
          <w:tcPr>
            <w:tcW w:type="dxa" w:w="1080"/>
            <w:tcMar>
              <w:top w:w="80" w:type="dxa"/>
              <w:start w:w="80" w:type="dxa"/>
              <w:bottom w:w="80" w:type="dxa"/>
              <w:end w:w="80" w:type="dxa"/>
            </w:tcMar>
            <w:vAlign w:val="top"/>
          </w:tcPr>
          <w:p>
            <w:pPr>
              <w:spacing w:after="40"/>
            </w:pPr>
            <w:r>
              <w:t>ID-002</w:t>
            </w:r>
          </w:p>
        </w:tc>
        <w:tc>
          <w:tcPr>
            <w:tcW w:type="dxa" w:w="1944"/>
            <w:tcMar>
              <w:top w:w="80" w:type="dxa"/>
              <w:start w:w="80" w:type="dxa"/>
              <w:bottom w:w="80" w:type="dxa"/>
              <w:end w:w="80" w:type="dxa"/>
            </w:tcMar>
            <w:vAlign w:val="top"/>
          </w:tcPr>
          <w:p>
            <w:pPr>
              <w:spacing w:after="40"/>
            </w:pPr>
            <w:r>
              <w:t>Persona Identity</w:t>
            </w:r>
          </w:p>
        </w:tc>
        <w:tc>
          <w:tcPr>
            <w:tcW w:type="dxa" w:w="5760"/>
            <w:tcMar>
              <w:top w:w="80" w:type="dxa"/>
              <w:start w:w="80" w:type="dxa"/>
              <w:bottom w:w="80" w:type="dxa"/>
              <w:end w:w="80" w:type="dxa"/>
            </w:tcMar>
            <w:vAlign w:val="top"/>
          </w:tcPr>
          <w:p>
            <w:pPr>
              <w:spacing w:after="40"/>
            </w:pPr>
            <w:r>
              <w:t>HEIMDALL shall create application/persona UUIDs per app and user type.</w:t>
            </w:r>
          </w:p>
        </w:tc>
        <w:tc>
          <w:tcPr>
            <w:tcW w:type="dxa" w:w="1296"/>
            <w:tcMar>
              <w:top w:w="80" w:type="dxa"/>
              <w:start w:w="80" w:type="dxa"/>
              <w:bottom w:w="80" w:type="dxa"/>
              <w:end w:w="80" w:type="dxa"/>
            </w:tcMar>
            <w:vAlign w:val="top"/>
          </w:tcPr>
          <w:p>
            <w:pPr>
              <w:spacing w:after="40"/>
            </w:pPr>
            <w:r>
              <w:t>MVP</w:t>
            </w:r>
          </w:p>
        </w:tc>
        <w:tc>
          <w:tcPr>
            <w:tcW w:type="dxa" w:w="1152"/>
            <w:tcMar>
              <w:top w:w="80" w:type="dxa"/>
              <w:start w:w="80" w:type="dxa"/>
              <w:bottom w:w="80" w:type="dxa"/>
              <w:end w:w="80" w:type="dxa"/>
            </w:tcMar>
            <w:vAlign w:val="top"/>
          </w:tcPr>
          <w:p>
            <w:pPr>
              <w:spacing w:after="40"/>
            </w:pPr>
            <w:r>
              <w:t>Must</w:t>
            </w:r>
          </w:p>
        </w:tc>
      </w:tr>
      <w:tr>
        <w:tc>
          <w:tcPr>
            <w:tcW w:type="dxa" w:w="1080"/>
            <w:tcMar>
              <w:top w:w="80" w:type="dxa"/>
              <w:start w:w="80" w:type="dxa"/>
              <w:bottom w:w="80" w:type="dxa"/>
              <w:end w:w="80" w:type="dxa"/>
            </w:tcMar>
            <w:vAlign w:val="top"/>
          </w:tcPr>
          <w:p>
            <w:pPr>
              <w:spacing w:after="40"/>
            </w:pPr>
            <w:r>
              <w:t>ID-003</w:t>
            </w:r>
          </w:p>
        </w:tc>
        <w:tc>
          <w:tcPr>
            <w:tcW w:type="dxa" w:w="1944"/>
            <w:tcMar>
              <w:top w:w="80" w:type="dxa"/>
              <w:start w:w="80" w:type="dxa"/>
              <w:bottom w:w="80" w:type="dxa"/>
              <w:end w:w="80" w:type="dxa"/>
            </w:tcMar>
            <w:vAlign w:val="top"/>
          </w:tcPr>
          <w:p>
            <w:pPr>
              <w:spacing w:after="40"/>
            </w:pPr>
            <w:r>
              <w:t>Unlinked Identities</w:t>
            </w:r>
          </w:p>
        </w:tc>
        <w:tc>
          <w:tcPr>
            <w:tcW w:type="dxa" w:w="5760"/>
            <w:tcMar>
              <w:top w:w="80" w:type="dxa"/>
              <w:start w:w="80" w:type="dxa"/>
              <w:bottom w:w="80" w:type="dxa"/>
              <w:end w:w="80" w:type="dxa"/>
            </w:tcMar>
            <w:vAlign w:val="top"/>
          </w:tcPr>
          <w:p>
            <w:pPr>
              <w:spacing w:after="40"/>
            </w:pPr>
            <w:r>
              <w:t>Users may intentionally maintain multiple unlinked Parent UUIDs.</w:t>
            </w:r>
          </w:p>
        </w:tc>
        <w:tc>
          <w:tcPr>
            <w:tcW w:type="dxa" w:w="1296"/>
            <w:tcMar>
              <w:top w:w="80" w:type="dxa"/>
              <w:start w:w="80" w:type="dxa"/>
              <w:bottom w:w="80" w:type="dxa"/>
              <w:end w:w="80" w:type="dxa"/>
            </w:tcMar>
            <w:vAlign w:val="top"/>
          </w:tcPr>
          <w:p>
            <w:pPr>
              <w:spacing w:after="40"/>
            </w:pPr>
            <w:r>
              <w:t>MVP</w:t>
            </w:r>
          </w:p>
        </w:tc>
        <w:tc>
          <w:tcPr>
            <w:tcW w:type="dxa" w:w="1152"/>
            <w:tcMar>
              <w:top w:w="80" w:type="dxa"/>
              <w:start w:w="80" w:type="dxa"/>
              <w:bottom w:w="80" w:type="dxa"/>
              <w:end w:w="80" w:type="dxa"/>
            </w:tcMar>
            <w:vAlign w:val="top"/>
          </w:tcPr>
          <w:p>
            <w:pPr>
              <w:spacing w:after="40"/>
            </w:pPr>
            <w:r>
              <w:t>Must</w:t>
            </w:r>
          </w:p>
        </w:tc>
      </w:tr>
      <w:tr>
        <w:tc>
          <w:tcPr>
            <w:tcW w:type="dxa" w:w="1080"/>
            <w:tcMar>
              <w:top w:w="80" w:type="dxa"/>
              <w:start w:w="80" w:type="dxa"/>
              <w:bottom w:w="80" w:type="dxa"/>
              <w:end w:w="80" w:type="dxa"/>
            </w:tcMar>
            <w:vAlign w:val="top"/>
          </w:tcPr>
          <w:p>
            <w:pPr>
              <w:spacing w:after="40"/>
            </w:pPr>
            <w:r>
              <w:t>ID-004</w:t>
            </w:r>
          </w:p>
        </w:tc>
        <w:tc>
          <w:tcPr>
            <w:tcW w:type="dxa" w:w="1944"/>
            <w:tcMar>
              <w:top w:w="80" w:type="dxa"/>
              <w:start w:w="80" w:type="dxa"/>
              <w:bottom w:w="80" w:type="dxa"/>
              <w:end w:w="80" w:type="dxa"/>
            </w:tcMar>
            <w:vAlign w:val="top"/>
          </w:tcPr>
          <w:p>
            <w:pPr>
              <w:spacing w:after="40"/>
            </w:pPr>
            <w:r>
              <w:t>Credential Flexibility</w:t>
            </w:r>
          </w:p>
        </w:tc>
        <w:tc>
          <w:tcPr>
            <w:tcW w:type="dxa" w:w="5760"/>
            <w:tcMar>
              <w:top w:w="80" w:type="dxa"/>
              <w:start w:w="80" w:type="dxa"/>
              <w:bottom w:w="80" w:type="dxa"/>
              <w:end w:w="80" w:type="dxa"/>
            </w:tcMar>
            <w:vAlign w:val="top"/>
          </w:tcPr>
          <w:p>
            <w:pPr>
              <w:spacing w:after="40"/>
            </w:pPr>
            <w:r>
              <w:t>HEIMDALL shall support multiple emails, multiple phones, social identities, and future enterprise identities.</w:t>
            </w:r>
          </w:p>
        </w:tc>
        <w:tc>
          <w:tcPr>
            <w:tcW w:type="dxa" w:w="1296"/>
            <w:tcMar>
              <w:top w:w="80" w:type="dxa"/>
              <w:start w:w="80" w:type="dxa"/>
              <w:bottom w:w="80" w:type="dxa"/>
              <w:end w:w="80" w:type="dxa"/>
            </w:tcMar>
            <w:vAlign w:val="top"/>
          </w:tcPr>
          <w:p>
            <w:pPr>
              <w:spacing w:after="40"/>
            </w:pPr>
            <w:r>
              <w:t>MVP</w:t>
            </w:r>
          </w:p>
        </w:tc>
        <w:tc>
          <w:tcPr>
            <w:tcW w:type="dxa" w:w="1152"/>
            <w:tcMar>
              <w:top w:w="80" w:type="dxa"/>
              <w:start w:w="80" w:type="dxa"/>
              <w:bottom w:w="80" w:type="dxa"/>
              <w:end w:w="80" w:type="dxa"/>
            </w:tcMar>
            <w:vAlign w:val="top"/>
          </w:tcPr>
          <w:p>
            <w:pPr>
              <w:spacing w:after="40"/>
            </w:pPr>
            <w:r>
              <w:t>Must</w:t>
            </w:r>
          </w:p>
        </w:tc>
      </w:tr>
      <w:tr>
        <w:tc>
          <w:tcPr>
            <w:tcW w:type="dxa" w:w="1080"/>
            <w:tcMar>
              <w:top w:w="80" w:type="dxa"/>
              <w:start w:w="80" w:type="dxa"/>
              <w:bottom w:w="80" w:type="dxa"/>
              <w:end w:w="80" w:type="dxa"/>
            </w:tcMar>
            <w:vAlign w:val="top"/>
          </w:tcPr>
          <w:p>
            <w:pPr>
              <w:spacing w:after="40"/>
            </w:pPr>
            <w:r>
              <w:t>ID-005</w:t>
            </w:r>
          </w:p>
        </w:tc>
        <w:tc>
          <w:tcPr>
            <w:tcW w:type="dxa" w:w="1944"/>
            <w:tcMar>
              <w:top w:w="80" w:type="dxa"/>
              <w:start w:w="80" w:type="dxa"/>
              <w:bottom w:w="80" w:type="dxa"/>
              <w:end w:w="80" w:type="dxa"/>
            </w:tcMar>
            <w:vAlign w:val="top"/>
          </w:tcPr>
          <w:p>
            <w:pPr>
              <w:spacing w:after="40"/>
            </w:pPr>
            <w:r>
              <w:t>Explicit Linking</w:t>
            </w:r>
          </w:p>
        </w:tc>
        <w:tc>
          <w:tcPr>
            <w:tcW w:type="dxa" w:w="5760"/>
            <w:tcMar>
              <w:top w:w="80" w:type="dxa"/>
              <w:start w:w="80" w:type="dxa"/>
              <w:bottom w:w="80" w:type="dxa"/>
              <w:end w:w="80" w:type="dxa"/>
            </w:tcMar>
            <w:vAlign w:val="top"/>
          </w:tcPr>
          <w:p>
            <w:pPr>
              <w:spacing w:after="40"/>
            </w:pPr>
            <w:r>
              <w:t>Account linking/unlinking shall occur only through explicit user or admin/support action.</w:t>
            </w:r>
          </w:p>
        </w:tc>
        <w:tc>
          <w:tcPr>
            <w:tcW w:type="dxa" w:w="1296"/>
            <w:tcMar>
              <w:top w:w="80" w:type="dxa"/>
              <w:start w:w="80" w:type="dxa"/>
              <w:bottom w:w="80" w:type="dxa"/>
              <w:end w:w="80" w:type="dxa"/>
            </w:tcMar>
            <w:vAlign w:val="top"/>
          </w:tcPr>
          <w:p>
            <w:pPr>
              <w:spacing w:after="40"/>
            </w:pPr>
            <w:r>
              <w:t>MVP</w:t>
            </w:r>
          </w:p>
        </w:tc>
        <w:tc>
          <w:tcPr>
            <w:tcW w:type="dxa" w:w="1152"/>
            <w:tcMar>
              <w:top w:w="80" w:type="dxa"/>
              <w:start w:w="80" w:type="dxa"/>
              <w:bottom w:w="80" w:type="dxa"/>
              <w:end w:w="80" w:type="dxa"/>
            </w:tcMar>
            <w:vAlign w:val="top"/>
          </w:tcPr>
          <w:p>
            <w:pPr>
              <w:spacing w:after="40"/>
            </w:pPr>
            <w:r>
              <w:t>Must</w:t>
            </w:r>
          </w:p>
        </w:tc>
      </w:tr>
      <w:tr>
        <w:tc>
          <w:tcPr>
            <w:tcW w:type="dxa" w:w="1080"/>
            <w:tcMar>
              <w:top w:w="80" w:type="dxa"/>
              <w:start w:w="80" w:type="dxa"/>
              <w:bottom w:w="80" w:type="dxa"/>
              <w:end w:w="80" w:type="dxa"/>
            </w:tcMar>
            <w:vAlign w:val="top"/>
          </w:tcPr>
          <w:p>
            <w:pPr>
              <w:spacing w:after="40"/>
            </w:pPr>
            <w:r>
              <w:t>ID-006</w:t>
            </w:r>
          </w:p>
        </w:tc>
        <w:tc>
          <w:tcPr>
            <w:tcW w:type="dxa" w:w="1944"/>
            <w:tcMar>
              <w:top w:w="80" w:type="dxa"/>
              <w:start w:w="80" w:type="dxa"/>
              <w:bottom w:w="80" w:type="dxa"/>
              <w:end w:w="80" w:type="dxa"/>
            </w:tcMar>
            <w:vAlign w:val="top"/>
          </w:tcPr>
          <w:p>
            <w:pPr>
              <w:spacing w:after="40"/>
            </w:pPr>
            <w:r>
              <w:t>No Auto Linking</w:t>
            </w:r>
          </w:p>
        </w:tc>
        <w:tc>
          <w:tcPr>
            <w:tcW w:type="dxa" w:w="5760"/>
            <w:tcMar>
              <w:top w:w="80" w:type="dxa"/>
              <w:start w:w="80" w:type="dxa"/>
              <w:bottom w:w="80" w:type="dxa"/>
              <w:end w:w="80" w:type="dxa"/>
            </w:tcMar>
            <w:vAlign w:val="top"/>
          </w:tcPr>
          <w:p>
            <w:pPr>
              <w:spacing w:after="40"/>
            </w:pPr>
            <w:r>
              <w:t>HEIMDALL shall not automatically suggest or force linking based on email, device, payment, name, or phone similarity.</w:t>
            </w:r>
          </w:p>
        </w:tc>
        <w:tc>
          <w:tcPr>
            <w:tcW w:type="dxa" w:w="1296"/>
            <w:tcMar>
              <w:top w:w="80" w:type="dxa"/>
              <w:start w:w="80" w:type="dxa"/>
              <w:bottom w:w="80" w:type="dxa"/>
              <w:end w:w="80" w:type="dxa"/>
            </w:tcMar>
            <w:vAlign w:val="top"/>
          </w:tcPr>
          <w:p>
            <w:pPr>
              <w:spacing w:after="40"/>
            </w:pPr>
            <w:r>
              <w:t>MVP</w:t>
            </w:r>
          </w:p>
        </w:tc>
        <w:tc>
          <w:tcPr>
            <w:tcW w:type="dxa" w:w="1152"/>
            <w:tcMar>
              <w:top w:w="80" w:type="dxa"/>
              <w:start w:w="80" w:type="dxa"/>
              <w:bottom w:w="80" w:type="dxa"/>
              <w:end w:w="80" w:type="dxa"/>
            </w:tcMar>
            <w:vAlign w:val="top"/>
          </w:tcPr>
          <w:p>
            <w:pPr>
              <w:spacing w:after="40"/>
            </w:pPr>
            <w:r>
              <w:t>Must</w:t>
            </w:r>
          </w:p>
        </w:tc>
      </w:tr>
      <w:tr>
        <w:tc>
          <w:tcPr>
            <w:tcW w:type="dxa" w:w="1080"/>
            <w:tcMar>
              <w:top w:w="80" w:type="dxa"/>
              <w:start w:w="80" w:type="dxa"/>
              <w:bottom w:w="80" w:type="dxa"/>
              <w:end w:w="80" w:type="dxa"/>
            </w:tcMar>
            <w:vAlign w:val="top"/>
          </w:tcPr>
          <w:p>
            <w:pPr>
              <w:spacing w:after="40"/>
            </w:pPr>
            <w:r>
              <w:t>ID-007</w:t>
            </w:r>
          </w:p>
        </w:tc>
        <w:tc>
          <w:tcPr>
            <w:tcW w:type="dxa" w:w="1944"/>
            <w:tcMar>
              <w:top w:w="80" w:type="dxa"/>
              <w:start w:w="80" w:type="dxa"/>
              <w:bottom w:w="80" w:type="dxa"/>
              <w:end w:w="80" w:type="dxa"/>
            </w:tcMar>
            <w:vAlign w:val="top"/>
          </w:tcPr>
          <w:p>
            <w:pPr>
              <w:spacing w:after="40"/>
            </w:pPr>
            <w:r>
              <w:t>Guest Identity</w:t>
            </w:r>
          </w:p>
        </w:tc>
        <w:tc>
          <w:tcPr>
            <w:tcW w:type="dxa" w:w="5760"/>
            <w:tcMar>
              <w:top w:w="80" w:type="dxa"/>
              <w:start w:w="80" w:type="dxa"/>
              <w:bottom w:w="80" w:type="dxa"/>
              <w:end w:w="80" w:type="dxa"/>
            </w:tcMar>
            <w:vAlign w:val="top"/>
          </w:tcPr>
          <w:p>
            <w:pPr>
              <w:spacing w:after="40"/>
            </w:pPr>
            <w:r>
              <w:t>HEIMDALL shall support anonymous Guest UUIDs with configurable persistence and upgrade/claim flow.</w:t>
            </w:r>
          </w:p>
        </w:tc>
        <w:tc>
          <w:tcPr>
            <w:tcW w:type="dxa" w:w="1296"/>
            <w:tcMar>
              <w:top w:w="80" w:type="dxa"/>
              <w:start w:w="80" w:type="dxa"/>
              <w:bottom w:w="80" w:type="dxa"/>
              <w:end w:w="80" w:type="dxa"/>
            </w:tcMar>
            <w:vAlign w:val="top"/>
          </w:tcPr>
          <w:p>
            <w:pPr>
              <w:spacing w:after="40"/>
            </w:pPr>
            <w:r>
              <w:t>MVP</w:t>
            </w:r>
          </w:p>
        </w:tc>
        <w:tc>
          <w:tcPr>
            <w:tcW w:type="dxa" w:w="1152"/>
            <w:tcMar>
              <w:top w:w="80" w:type="dxa"/>
              <w:start w:w="80" w:type="dxa"/>
              <w:bottom w:w="80" w:type="dxa"/>
              <w:end w:w="80" w:type="dxa"/>
            </w:tcMar>
            <w:vAlign w:val="top"/>
          </w:tcPr>
          <w:p>
            <w:pPr>
              <w:spacing w:after="40"/>
            </w:pPr>
            <w:r>
              <w:t>Must</w:t>
            </w:r>
          </w:p>
        </w:tc>
      </w:tr>
      <w:tr>
        <w:tc>
          <w:tcPr>
            <w:tcW w:type="dxa" w:w="1080"/>
            <w:tcMar>
              <w:top w:w="80" w:type="dxa"/>
              <w:start w:w="80" w:type="dxa"/>
              <w:bottom w:w="80" w:type="dxa"/>
              <w:end w:w="80" w:type="dxa"/>
            </w:tcMar>
            <w:vAlign w:val="top"/>
          </w:tcPr>
          <w:p>
            <w:pPr>
              <w:spacing w:after="40"/>
            </w:pPr>
            <w:r>
              <w:t>ID-008</w:t>
            </w:r>
          </w:p>
        </w:tc>
        <w:tc>
          <w:tcPr>
            <w:tcW w:type="dxa" w:w="1944"/>
            <w:tcMar>
              <w:top w:w="80" w:type="dxa"/>
              <w:start w:w="80" w:type="dxa"/>
              <w:bottom w:w="80" w:type="dxa"/>
              <w:end w:w="80" w:type="dxa"/>
            </w:tcMar>
            <w:vAlign w:val="top"/>
          </w:tcPr>
          <w:p>
            <w:pPr>
              <w:spacing w:after="40"/>
            </w:pPr>
            <w:r>
              <w:t>Offline Provisional Identity</w:t>
            </w:r>
          </w:p>
        </w:tc>
        <w:tc>
          <w:tcPr>
            <w:tcW w:type="dxa" w:w="5760"/>
            <w:tcMar>
              <w:top w:w="80" w:type="dxa"/>
              <w:start w:w="80" w:type="dxa"/>
              <w:bottom w:w="80" w:type="dxa"/>
              <w:end w:w="80" w:type="dxa"/>
            </w:tcMar>
            <w:vAlign w:val="top"/>
          </w:tcPr>
          <w:p>
            <w:pPr>
              <w:spacing w:after="40"/>
            </w:pPr>
            <w:r>
              <w:t>Applications may create provisional offline records that sync back to HEIMDALL later.</w:t>
            </w:r>
          </w:p>
        </w:tc>
        <w:tc>
          <w:tcPr>
            <w:tcW w:type="dxa" w:w="1296"/>
            <w:tcMar>
              <w:top w:w="80" w:type="dxa"/>
              <w:start w:w="80" w:type="dxa"/>
              <w:bottom w:w="80" w:type="dxa"/>
              <w:end w:w="80" w:type="dxa"/>
            </w:tcMar>
            <w:vAlign w:val="top"/>
          </w:tcPr>
          <w:p>
            <w:pPr>
              <w:spacing w:after="40"/>
            </w:pPr>
            <w:r>
              <w:t>Phase 2</w:t>
            </w:r>
          </w:p>
        </w:tc>
        <w:tc>
          <w:tcPr>
            <w:tcW w:type="dxa" w:w="1152"/>
            <w:tcMar>
              <w:top w:w="80" w:type="dxa"/>
              <w:start w:w="80" w:type="dxa"/>
              <w:bottom w:w="80" w:type="dxa"/>
              <w:end w:w="80" w:type="dxa"/>
            </w:tcMar>
            <w:vAlign w:val="top"/>
          </w:tcPr>
          <w:p>
            <w:pPr>
              <w:spacing w:after="40"/>
            </w:pPr>
            <w:r>
              <w:t>Should</w:t>
            </w:r>
          </w:p>
        </w:tc>
      </w:tr>
      <w:tr>
        <w:tc>
          <w:tcPr>
            <w:tcW w:type="dxa" w:w="1080"/>
            <w:tcMar>
              <w:top w:w="80" w:type="dxa"/>
              <w:start w:w="80" w:type="dxa"/>
              <w:bottom w:w="80" w:type="dxa"/>
              <w:end w:w="80" w:type="dxa"/>
            </w:tcMar>
            <w:vAlign w:val="top"/>
          </w:tcPr>
          <w:p>
            <w:pPr>
              <w:spacing w:after="40"/>
            </w:pPr>
            <w:r>
              <w:t>ID-009</w:t>
            </w:r>
          </w:p>
        </w:tc>
        <w:tc>
          <w:tcPr>
            <w:tcW w:type="dxa" w:w="1944"/>
            <w:tcMar>
              <w:top w:w="80" w:type="dxa"/>
              <w:start w:w="80" w:type="dxa"/>
              <w:bottom w:w="80" w:type="dxa"/>
              <w:end w:w="80" w:type="dxa"/>
            </w:tcMar>
            <w:vAlign w:val="top"/>
          </w:tcPr>
          <w:p>
            <w:pPr>
              <w:spacing w:after="40"/>
            </w:pPr>
            <w:r>
              <w:t>White-Label Visibility</w:t>
            </w:r>
          </w:p>
        </w:tc>
        <w:tc>
          <w:tcPr>
            <w:tcW w:type="dxa" w:w="5760"/>
            <w:tcMar>
              <w:top w:w="80" w:type="dxa"/>
              <w:start w:w="80" w:type="dxa"/>
              <w:bottom w:w="80" w:type="dxa"/>
              <w:end w:w="80" w:type="dxa"/>
            </w:tcMar>
            <w:vAlign w:val="top"/>
          </w:tcPr>
          <w:p>
            <w:pPr>
              <w:spacing w:after="40"/>
            </w:pPr>
            <w:r>
              <w:t>HEIMDALL shall support white-label contexts where account usage may appear separate until the user is notified and chooses to link/unlink.</w:t>
            </w:r>
          </w:p>
        </w:tc>
        <w:tc>
          <w:tcPr>
            <w:tcW w:type="dxa" w:w="1296"/>
            <w:tcMar>
              <w:top w:w="80" w:type="dxa"/>
              <w:start w:w="80" w:type="dxa"/>
              <w:bottom w:w="80" w:type="dxa"/>
              <w:end w:w="80" w:type="dxa"/>
            </w:tcMar>
            <w:vAlign w:val="top"/>
          </w:tcPr>
          <w:p>
            <w:pPr>
              <w:spacing w:after="40"/>
            </w:pPr>
            <w:r>
              <w:t>MVP</w:t>
            </w:r>
          </w:p>
        </w:tc>
        <w:tc>
          <w:tcPr>
            <w:tcW w:type="dxa" w:w="1152"/>
            <w:tcMar>
              <w:top w:w="80" w:type="dxa"/>
              <w:start w:w="80" w:type="dxa"/>
              <w:bottom w:w="80" w:type="dxa"/>
              <w:end w:w="80" w:type="dxa"/>
            </w:tcMar>
            <w:vAlign w:val="top"/>
          </w:tcPr>
          <w:p>
            <w:pPr>
              <w:spacing w:after="40"/>
            </w:pPr>
            <w:r>
              <w:t>Must</w:t>
            </w:r>
          </w:p>
        </w:tc>
      </w:tr>
      <w:tr>
        <w:tc>
          <w:tcPr>
            <w:tcW w:type="dxa" w:w="1080"/>
            <w:tcMar>
              <w:top w:w="80" w:type="dxa"/>
              <w:start w:w="80" w:type="dxa"/>
              <w:bottom w:w="80" w:type="dxa"/>
              <w:end w:w="80" w:type="dxa"/>
            </w:tcMar>
            <w:vAlign w:val="top"/>
          </w:tcPr>
          <w:p>
            <w:pPr>
              <w:spacing w:after="40"/>
            </w:pPr>
            <w:r>
              <w:t>ID-010</w:t>
            </w:r>
          </w:p>
        </w:tc>
        <w:tc>
          <w:tcPr>
            <w:tcW w:type="dxa" w:w="1944"/>
            <w:tcMar>
              <w:top w:w="80" w:type="dxa"/>
              <w:start w:w="80" w:type="dxa"/>
              <w:bottom w:w="80" w:type="dxa"/>
              <w:end w:w="80" w:type="dxa"/>
            </w:tcMar>
            <w:vAlign w:val="top"/>
          </w:tcPr>
          <w:p>
            <w:pPr>
              <w:spacing w:after="40"/>
            </w:pPr>
            <w:r>
              <w:t>Source of Truth</w:t>
            </w:r>
          </w:p>
        </w:tc>
        <w:tc>
          <w:tcPr>
            <w:tcW w:type="dxa" w:w="5760"/>
            <w:tcMar>
              <w:top w:w="80" w:type="dxa"/>
              <w:start w:w="80" w:type="dxa"/>
              <w:bottom w:w="80" w:type="dxa"/>
              <w:end w:w="80" w:type="dxa"/>
            </w:tcMar>
            <w:vAlign w:val="top"/>
          </w:tcPr>
          <w:p>
            <w:pPr>
              <w:spacing w:after="40"/>
            </w:pPr>
            <w:r>
              <w:t>HEIMDALL Identity Graph shall be the authoritative identity source for Myriad-owned apps.</w:t>
            </w:r>
          </w:p>
        </w:tc>
        <w:tc>
          <w:tcPr>
            <w:tcW w:type="dxa" w:w="1296"/>
            <w:tcMar>
              <w:top w:w="80" w:type="dxa"/>
              <w:start w:w="80" w:type="dxa"/>
              <w:bottom w:w="80" w:type="dxa"/>
              <w:end w:w="80" w:type="dxa"/>
            </w:tcMar>
            <w:vAlign w:val="top"/>
          </w:tcPr>
          <w:p>
            <w:pPr>
              <w:spacing w:after="40"/>
            </w:pPr>
            <w:r>
              <w:t>MVP</w:t>
            </w:r>
          </w:p>
        </w:tc>
        <w:tc>
          <w:tcPr>
            <w:tcW w:type="dxa" w:w="1152"/>
            <w:tcMar>
              <w:top w:w="80" w:type="dxa"/>
              <w:start w:w="80" w:type="dxa"/>
              <w:bottom w:w="80" w:type="dxa"/>
              <w:end w:w="80" w:type="dxa"/>
            </w:tcMar>
            <w:vAlign w:val="top"/>
          </w:tcPr>
          <w:p>
            <w:pPr>
              <w:spacing w:after="40"/>
            </w:pPr>
            <w:r>
              <w:t>Must</w:t>
            </w:r>
          </w:p>
        </w:tc>
      </w:tr>
    </w:tbl>
    <w:p/>
    <w:p>
      <w:pPr>
        <w:pStyle w:val="Heading1"/>
      </w:pPr>
      <w:r>
        <w:t>6. Authentication and Federation Requirements</w:t>
      </w:r>
    </w:p>
    <w:p>
      <w:r>
        <w:t>Keycloak is the preferred authentication and federation broker. It supports standard protocols including OpenID Connect, OAuth 2.0, and SAML. HEIMDALL will use Keycloak for authentication while retaining the identity graph, persona, tenant, secret, and authorization decisions internally.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224"/>
            <w:shd w:fill="1F4E78"/>
            <w:tcMar>
              <w:top w:w="80" w:type="dxa"/>
              <w:start w:w="80" w:type="dxa"/>
              <w:bottom w:w="80" w:type="dxa"/>
              <w:end w:w="80" w:type="dxa"/>
            </w:tcMar>
            <w:vAlign w:val="center"/>
          </w:tcPr>
          <w:p>
            <w:pPr>
              <w:spacing w:after="40"/>
            </w:pPr>
            <w:r>
              <w:rPr>
                <w:b/>
                <w:color w:val="FFFFFF"/>
              </w:rPr>
              <w:t>ID</w:t>
            </w:r>
          </w:p>
        </w:tc>
        <w:tc>
          <w:tcPr>
            <w:tcW w:type="dxa" w:w="5760"/>
            <w:shd w:fill="1F4E78"/>
            <w:tcMar>
              <w:top w:w="80" w:type="dxa"/>
              <w:start w:w="80" w:type="dxa"/>
              <w:bottom w:w="80" w:type="dxa"/>
              <w:end w:w="80" w:type="dxa"/>
            </w:tcMar>
            <w:vAlign w:val="center"/>
          </w:tcPr>
          <w:p>
            <w:pPr>
              <w:spacing w:after="40"/>
            </w:pPr>
            <w:r>
              <w:rPr>
                <w:b/>
                <w:color w:val="FFFFFF"/>
              </w:rPr>
              <w:t>Requirement</w:t>
            </w:r>
          </w:p>
        </w:tc>
        <w:tc>
          <w:tcPr>
            <w:tcW w:type="dxa" w:w="1440"/>
            <w:shd w:fill="1F4E78"/>
            <w:tcMar>
              <w:top w:w="80" w:type="dxa"/>
              <w:start w:w="80" w:type="dxa"/>
              <w:bottom w:w="80" w:type="dxa"/>
              <w:end w:w="80" w:type="dxa"/>
            </w:tcMar>
            <w:vAlign w:val="center"/>
          </w:tcPr>
          <w:p>
            <w:pPr>
              <w:spacing w:after="40"/>
            </w:pPr>
            <w:r>
              <w:rPr>
                <w:b/>
                <w:color w:val="FFFFFF"/>
              </w:rPr>
              <w:t>Phase</w:t>
            </w:r>
          </w:p>
        </w:tc>
        <w:tc>
          <w:tcPr>
            <w:tcW w:type="dxa" w:w="2880"/>
            <w:shd w:fill="1F4E78"/>
            <w:tcMar>
              <w:top w:w="80" w:type="dxa"/>
              <w:start w:w="80" w:type="dxa"/>
              <w:bottom w:w="80" w:type="dxa"/>
              <w:end w:w="80" w:type="dxa"/>
            </w:tcMar>
            <w:vAlign w:val="center"/>
          </w:tcPr>
          <w:p>
            <w:pPr>
              <w:spacing w:after="40"/>
            </w:pPr>
            <w:r>
              <w:rPr>
                <w:b/>
                <w:color w:val="FFFFFF"/>
              </w:rPr>
              <w:t>Notes</w:t>
            </w:r>
          </w:p>
        </w:tc>
      </w:tr>
      <w:tr>
        <w:tc>
          <w:tcPr>
            <w:tcW w:type="dxa" w:w="1224"/>
            <w:tcMar>
              <w:top w:w="80" w:type="dxa"/>
              <w:start w:w="80" w:type="dxa"/>
              <w:bottom w:w="80" w:type="dxa"/>
              <w:end w:w="80" w:type="dxa"/>
            </w:tcMar>
            <w:vAlign w:val="top"/>
          </w:tcPr>
          <w:p>
            <w:pPr>
              <w:spacing w:after="40"/>
            </w:pPr>
            <w:r>
              <w:t>AUTH-001</w:t>
            </w:r>
          </w:p>
        </w:tc>
        <w:tc>
          <w:tcPr>
            <w:tcW w:type="dxa" w:w="5760"/>
            <w:tcMar>
              <w:top w:w="80" w:type="dxa"/>
              <w:start w:w="80" w:type="dxa"/>
              <w:bottom w:w="80" w:type="dxa"/>
              <w:end w:w="80" w:type="dxa"/>
            </w:tcMar>
            <w:vAlign w:val="top"/>
          </w:tcPr>
          <w:p>
            <w:pPr>
              <w:spacing w:after="40"/>
            </w:pPr>
            <w:r>
              <w:t>Email/password authentication.</w:t>
            </w:r>
          </w:p>
        </w:tc>
        <w:tc>
          <w:tcPr>
            <w:tcW w:type="dxa" w:w="1440"/>
            <w:tcMar>
              <w:top w:w="80" w:type="dxa"/>
              <w:start w:w="80" w:type="dxa"/>
              <w:bottom w:w="80" w:type="dxa"/>
              <w:end w:w="80" w:type="dxa"/>
            </w:tcMar>
            <w:vAlign w:val="top"/>
          </w:tcPr>
          <w:p>
            <w:pPr>
              <w:spacing w:after="40"/>
            </w:pPr>
            <w:r>
              <w:t>MVP</w:t>
            </w:r>
          </w:p>
        </w:tc>
        <w:tc>
          <w:tcPr>
            <w:tcW w:type="dxa" w:w="2880"/>
            <w:tcMar>
              <w:top w:w="80" w:type="dxa"/>
              <w:start w:w="80" w:type="dxa"/>
              <w:bottom w:w="80" w:type="dxa"/>
              <w:end w:w="80" w:type="dxa"/>
            </w:tcMar>
            <w:vAlign w:val="top"/>
          </w:tcPr>
          <w:p>
            <w:pPr>
              <w:spacing w:after="40"/>
            </w:pPr>
            <w:r>
              <w:t>Primary login method.</w:t>
            </w:r>
          </w:p>
        </w:tc>
      </w:tr>
      <w:tr>
        <w:tc>
          <w:tcPr>
            <w:tcW w:type="dxa" w:w="1224"/>
            <w:tcMar>
              <w:top w:w="80" w:type="dxa"/>
              <w:start w:w="80" w:type="dxa"/>
              <w:bottom w:w="80" w:type="dxa"/>
              <w:end w:w="80" w:type="dxa"/>
            </w:tcMar>
            <w:vAlign w:val="top"/>
          </w:tcPr>
          <w:p>
            <w:pPr>
              <w:spacing w:after="40"/>
            </w:pPr>
            <w:r>
              <w:t>AUTH-002</w:t>
            </w:r>
          </w:p>
        </w:tc>
        <w:tc>
          <w:tcPr>
            <w:tcW w:type="dxa" w:w="5760"/>
            <w:tcMar>
              <w:top w:w="80" w:type="dxa"/>
              <w:start w:w="80" w:type="dxa"/>
              <w:bottom w:w="80" w:type="dxa"/>
              <w:end w:w="80" w:type="dxa"/>
            </w:tcMar>
            <w:vAlign w:val="top"/>
          </w:tcPr>
          <w:p>
            <w:pPr>
              <w:spacing w:after="40"/>
            </w:pPr>
            <w:r>
              <w:t>Multiple email addresses per Parent UUID where linked.</w:t>
            </w:r>
          </w:p>
        </w:tc>
        <w:tc>
          <w:tcPr>
            <w:tcW w:type="dxa" w:w="1440"/>
            <w:tcMar>
              <w:top w:w="80" w:type="dxa"/>
              <w:start w:w="80" w:type="dxa"/>
              <w:bottom w:w="80" w:type="dxa"/>
              <w:end w:w="80" w:type="dxa"/>
            </w:tcMar>
            <w:vAlign w:val="top"/>
          </w:tcPr>
          <w:p>
            <w:pPr>
              <w:spacing w:after="40"/>
            </w:pPr>
            <w:r>
              <w:t>MVP</w:t>
            </w:r>
          </w:p>
        </w:tc>
        <w:tc>
          <w:tcPr>
            <w:tcW w:type="dxa" w:w="2880"/>
            <w:tcMar>
              <w:top w:w="80" w:type="dxa"/>
              <w:start w:w="80" w:type="dxa"/>
              <w:bottom w:w="80" w:type="dxa"/>
              <w:end w:w="80" w:type="dxa"/>
            </w:tcMar>
            <w:vAlign w:val="top"/>
          </w:tcPr>
          <w:p>
            <w:pPr>
              <w:spacing w:after="40"/>
            </w:pPr>
            <w:r>
              <w:t>Email values encrypted; normalized hashes used for lookup.</w:t>
            </w:r>
          </w:p>
        </w:tc>
      </w:tr>
      <w:tr>
        <w:tc>
          <w:tcPr>
            <w:tcW w:type="dxa" w:w="1224"/>
            <w:tcMar>
              <w:top w:w="80" w:type="dxa"/>
              <w:start w:w="80" w:type="dxa"/>
              <w:bottom w:w="80" w:type="dxa"/>
              <w:end w:w="80" w:type="dxa"/>
            </w:tcMar>
            <w:vAlign w:val="top"/>
          </w:tcPr>
          <w:p>
            <w:pPr>
              <w:spacing w:after="40"/>
            </w:pPr>
            <w:r>
              <w:t>AUTH-003</w:t>
            </w:r>
          </w:p>
        </w:tc>
        <w:tc>
          <w:tcPr>
            <w:tcW w:type="dxa" w:w="5760"/>
            <w:tcMar>
              <w:top w:w="80" w:type="dxa"/>
              <w:start w:w="80" w:type="dxa"/>
              <w:bottom w:w="80" w:type="dxa"/>
              <w:end w:w="80" w:type="dxa"/>
            </w:tcMar>
            <w:vAlign w:val="top"/>
          </w:tcPr>
          <w:p>
            <w:pPr>
              <w:spacing w:after="40"/>
            </w:pPr>
            <w:r>
              <w:t>Phone credential support.</w:t>
            </w:r>
          </w:p>
        </w:tc>
        <w:tc>
          <w:tcPr>
            <w:tcW w:type="dxa" w:w="1440"/>
            <w:tcMar>
              <w:top w:w="80" w:type="dxa"/>
              <w:start w:w="80" w:type="dxa"/>
              <w:bottom w:w="80" w:type="dxa"/>
              <w:end w:w="80" w:type="dxa"/>
            </w:tcMar>
            <w:vAlign w:val="top"/>
          </w:tcPr>
          <w:p>
            <w:pPr>
              <w:spacing w:after="40"/>
            </w:pPr>
            <w:r>
              <w:t>MVP</w:t>
            </w:r>
          </w:p>
        </w:tc>
        <w:tc>
          <w:tcPr>
            <w:tcW w:type="dxa" w:w="2880"/>
            <w:tcMar>
              <w:top w:w="80" w:type="dxa"/>
              <w:start w:w="80" w:type="dxa"/>
              <w:bottom w:w="80" w:type="dxa"/>
              <w:end w:w="80" w:type="dxa"/>
            </w:tcMar>
            <w:vAlign w:val="top"/>
          </w:tcPr>
          <w:p>
            <w:pPr>
              <w:spacing w:after="40"/>
            </w:pPr>
            <w:r>
              <w:t>Can be login, MFA/recovery, or optional contact.</w:t>
            </w:r>
          </w:p>
        </w:tc>
      </w:tr>
      <w:tr>
        <w:tc>
          <w:tcPr>
            <w:tcW w:type="dxa" w:w="1224"/>
            <w:tcMar>
              <w:top w:w="80" w:type="dxa"/>
              <w:start w:w="80" w:type="dxa"/>
              <w:bottom w:w="80" w:type="dxa"/>
              <w:end w:w="80" w:type="dxa"/>
            </w:tcMar>
            <w:vAlign w:val="top"/>
          </w:tcPr>
          <w:p>
            <w:pPr>
              <w:spacing w:after="40"/>
            </w:pPr>
            <w:r>
              <w:t>AUTH-004</w:t>
            </w:r>
          </w:p>
        </w:tc>
        <w:tc>
          <w:tcPr>
            <w:tcW w:type="dxa" w:w="5760"/>
            <w:tcMar>
              <w:top w:w="80" w:type="dxa"/>
              <w:start w:w="80" w:type="dxa"/>
              <w:bottom w:w="80" w:type="dxa"/>
              <w:end w:w="80" w:type="dxa"/>
            </w:tcMar>
            <w:vAlign w:val="top"/>
          </w:tcPr>
          <w:p>
            <w:pPr>
              <w:spacing w:after="40"/>
            </w:pPr>
            <w:r>
              <w:t>Google and Facebook social login.</w:t>
            </w:r>
          </w:p>
        </w:tc>
        <w:tc>
          <w:tcPr>
            <w:tcW w:type="dxa" w:w="1440"/>
            <w:tcMar>
              <w:top w:w="80" w:type="dxa"/>
              <w:start w:w="80" w:type="dxa"/>
              <w:bottom w:w="80" w:type="dxa"/>
              <w:end w:w="80" w:type="dxa"/>
            </w:tcMar>
            <w:vAlign w:val="top"/>
          </w:tcPr>
          <w:p>
            <w:pPr>
              <w:spacing w:after="40"/>
            </w:pPr>
            <w:r>
              <w:t>MVP</w:t>
            </w:r>
          </w:p>
        </w:tc>
        <w:tc>
          <w:tcPr>
            <w:tcW w:type="dxa" w:w="2880"/>
            <w:tcMar>
              <w:top w:w="80" w:type="dxa"/>
              <w:start w:w="80" w:type="dxa"/>
              <w:bottom w:w="80" w:type="dxa"/>
              <w:end w:w="80" w:type="dxa"/>
            </w:tcMar>
            <w:vAlign w:val="top"/>
          </w:tcPr>
          <w:p>
            <w:pPr>
              <w:spacing w:after="40"/>
            </w:pPr>
            <w:r>
              <w:t>Apple planned for mobile/iOS contexts.</w:t>
            </w:r>
          </w:p>
        </w:tc>
      </w:tr>
      <w:tr>
        <w:tc>
          <w:tcPr>
            <w:tcW w:type="dxa" w:w="1224"/>
            <w:tcMar>
              <w:top w:w="80" w:type="dxa"/>
              <w:start w:w="80" w:type="dxa"/>
              <w:bottom w:w="80" w:type="dxa"/>
              <w:end w:w="80" w:type="dxa"/>
            </w:tcMar>
            <w:vAlign w:val="top"/>
          </w:tcPr>
          <w:p>
            <w:pPr>
              <w:spacing w:after="40"/>
            </w:pPr>
            <w:r>
              <w:t>AUTH-005</w:t>
            </w:r>
          </w:p>
        </w:tc>
        <w:tc>
          <w:tcPr>
            <w:tcW w:type="dxa" w:w="5760"/>
            <w:tcMar>
              <w:top w:w="80" w:type="dxa"/>
              <w:start w:w="80" w:type="dxa"/>
              <w:bottom w:w="80" w:type="dxa"/>
              <w:end w:w="80" w:type="dxa"/>
            </w:tcMar>
            <w:vAlign w:val="top"/>
          </w:tcPr>
          <w:p>
            <w:pPr>
              <w:spacing w:after="40"/>
            </w:pPr>
            <w:r>
              <w:t>Passwordless email/SMS OTP and magic links.</w:t>
            </w:r>
          </w:p>
        </w:tc>
        <w:tc>
          <w:tcPr>
            <w:tcW w:type="dxa" w:w="1440"/>
            <w:tcMar>
              <w:top w:w="80" w:type="dxa"/>
              <w:start w:w="80" w:type="dxa"/>
              <w:bottom w:w="80" w:type="dxa"/>
              <w:end w:w="80" w:type="dxa"/>
            </w:tcMar>
            <w:vAlign w:val="top"/>
          </w:tcPr>
          <w:p>
            <w:pPr>
              <w:spacing w:after="40"/>
            </w:pPr>
            <w:r>
              <w:t>Phase 2</w:t>
            </w:r>
          </w:p>
        </w:tc>
        <w:tc>
          <w:tcPr>
            <w:tcW w:type="dxa" w:w="2880"/>
            <w:tcMar>
              <w:top w:w="80" w:type="dxa"/>
              <w:start w:w="80" w:type="dxa"/>
              <w:bottom w:w="80" w:type="dxa"/>
              <w:end w:w="80" w:type="dxa"/>
            </w:tcMar>
            <w:vAlign w:val="top"/>
          </w:tcPr>
          <w:p>
            <w:pPr>
              <w:spacing w:after="40"/>
            </w:pPr>
            <w:r>
              <w:t>Provider-dependent implementation.</w:t>
            </w:r>
          </w:p>
        </w:tc>
      </w:tr>
      <w:tr>
        <w:tc>
          <w:tcPr>
            <w:tcW w:type="dxa" w:w="1224"/>
            <w:tcMar>
              <w:top w:w="80" w:type="dxa"/>
              <w:start w:w="80" w:type="dxa"/>
              <w:bottom w:w="80" w:type="dxa"/>
              <w:end w:w="80" w:type="dxa"/>
            </w:tcMar>
            <w:vAlign w:val="top"/>
          </w:tcPr>
          <w:p>
            <w:pPr>
              <w:spacing w:after="40"/>
            </w:pPr>
            <w:r>
              <w:t>AUTH-006</w:t>
            </w:r>
          </w:p>
        </w:tc>
        <w:tc>
          <w:tcPr>
            <w:tcW w:type="dxa" w:w="5760"/>
            <w:tcMar>
              <w:top w:w="80" w:type="dxa"/>
              <w:start w:w="80" w:type="dxa"/>
              <w:bottom w:w="80" w:type="dxa"/>
              <w:end w:w="80" w:type="dxa"/>
            </w:tcMar>
            <w:vAlign w:val="top"/>
          </w:tcPr>
          <w:p>
            <w:pPr>
              <w:spacing w:after="40"/>
            </w:pPr>
            <w:r>
              <w:t>Auth0 compatibility.</w:t>
            </w:r>
          </w:p>
        </w:tc>
        <w:tc>
          <w:tcPr>
            <w:tcW w:type="dxa" w:w="1440"/>
            <w:tcMar>
              <w:top w:w="80" w:type="dxa"/>
              <w:start w:w="80" w:type="dxa"/>
              <w:bottom w:w="80" w:type="dxa"/>
              <w:end w:w="80" w:type="dxa"/>
            </w:tcMar>
            <w:vAlign w:val="top"/>
          </w:tcPr>
          <w:p>
            <w:pPr>
              <w:spacing w:after="40"/>
            </w:pPr>
            <w:r>
              <w:t>Phase 2</w:t>
            </w:r>
          </w:p>
        </w:tc>
        <w:tc>
          <w:tcPr>
            <w:tcW w:type="dxa" w:w="2880"/>
            <w:tcMar>
              <w:top w:w="80" w:type="dxa"/>
              <w:start w:w="80" w:type="dxa"/>
              <w:bottom w:w="80" w:type="dxa"/>
              <w:end w:w="80" w:type="dxa"/>
            </w:tcMar>
            <w:vAlign w:val="top"/>
          </w:tcPr>
          <w:p>
            <w:pPr>
              <w:spacing w:after="40"/>
            </w:pPr>
            <w:r>
              <w:t>Do not hard-couple apps to Keycloak-specific assumptions.</w:t>
            </w:r>
          </w:p>
        </w:tc>
      </w:tr>
      <w:tr>
        <w:tc>
          <w:tcPr>
            <w:tcW w:type="dxa" w:w="1224"/>
            <w:tcMar>
              <w:top w:w="80" w:type="dxa"/>
              <w:start w:w="80" w:type="dxa"/>
              <w:bottom w:w="80" w:type="dxa"/>
              <w:end w:w="80" w:type="dxa"/>
            </w:tcMar>
            <w:vAlign w:val="top"/>
          </w:tcPr>
          <w:p>
            <w:pPr>
              <w:spacing w:after="40"/>
            </w:pPr>
            <w:r>
              <w:t>AUTH-007</w:t>
            </w:r>
          </w:p>
        </w:tc>
        <w:tc>
          <w:tcPr>
            <w:tcW w:type="dxa" w:w="5760"/>
            <w:tcMar>
              <w:top w:w="80" w:type="dxa"/>
              <w:start w:w="80" w:type="dxa"/>
              <w:bottom w:w="80" w:type="dxa"/>
              <w:end w:w="80" w:type="dxa"/>
            </w:tcMar>
            <w:vAlign w:val="top"/>
          </w:tcPr>
          <w:p>
            <w:pPr>
              <w:spacing w:after="40"/>
            </w:pPr>
            <w:r>
              <w:t>Okta / enterprise SSO federation.</w:t>
            </w:r>
          </w:p>
        </w:tc>
        <w:tc>
          <w:tcPr>
            <w:tcW w:type="dxa" w:w="1440"/>
            <w:tcMar>
              <w:top w:w="80" w:type="dxa"/>
              <w:start w:w="80" w:type="dxa"/>
              <w:bottom w:w="80" w:type="dxa"/>
              <w:end w:w="80" w:type="dxa"/>
            </w:tcMar>
            <w:vAlign w:val="top"/>
          </w:tcPr>
          <w:p>
            <w:pPr>
              <w:spacing w:after="40"/>
            </w:pPr>
            <w:r>
              <w:t>Phase 3</w:t>
            </w:r>
          </w:p>
        </w:tc>
        <w:tc>
          <w:tcPr>
            <w:tcW w:type="dxa" w:w="2880"/>
            <w:tcMar>
              <w:top w:w="80" w:type="dxa"/>
              <w:start w:w="80" w:type="dxa"/>
              <w:bottom w:w="80" w:type="dxa"/>
              <w:end w:w="80" w:type="dxa"/>
            </w:tcMar>
            <w:vAlign w:val="top"/>
          </w:tcPr>
          <w:p>
            <w:pPr>
              <w:spacing w:after="40"/>
            </w:pPr>
            <w:r>
              <w:t>OIDC/SAML enterprise IdP integration.</w:t>
            </w:r>
          </w:p>
        </w:tc>
      </w:tr>
      <w:tr>
        <w:tc>
          <w:tcPr>
            <w:tcW w:type="dxa" w:w="1224"/>
            <w:tcMar>
              <w:top w:w="80" w:type="dxa"/>
              <w:start w:w="80" w:type="dxa"/>
              <w:bottom w:w="80" w:type="dxa"/>
              <w:end w:w="80" w:type="dxa"/>
            </w:tcMar>
            <w:vAlign w:val="top"/>
          </w:tcPr>
          <w:p>
            <w:pPr>
              <w:spacing w:after="40"/>
            </w:pPr>
            <w:r>
              <w:t>AUTH-008</w:t>
            </w:r>
          </w:p>
        </w:tc>
        <w:tc>
          <w:tcPr>
            <w:tcW w:type="dxa" w:w="5760"/>
            <w:tcMar>
              <w:top w:w="80" w:type="dxa"/>
              <w:start w:w="80" w:type="dxa"/>
              <w:bottom w:w="80" w:type="dxa"/>
              <w:end w:w="80" w:type="dxa"/>
            </w:tcMar>
            <w:vAlign w:val="top"/>
          </w:tcPr>
          <w:p>
            <w:pPr>
              <w:spacing w:after="40"/>
            </w:pPr>
            <w:r>
              <w:t>App-isolated sessions by default.</w:t>
            </w:r>
          </w:p>
        </w:tc>
        <w:tc>
          <w:tcPr>
            <w:tcW w:type="dxa" w:w="1440"/>
            <w:tcMar>
              <w:top w:w="80" w:type="dxa"/>
              <w:start w:w="80" w:type="dxa"/>
              <w:bottom w:w="80" w:type="dxa"/>
              <w:end w:w="80" w:type="dxa"/>
            </w:tcMar>
            <w:vAlign w:val="top"/>
          </w:tcPr>
          <w:p>
            <w:pPr>
              <w:spacing w:after="40"/>
            </w:pPr>
            <w:r>
              <w:t>MVP</w:t>
            </w:r>
          </w:p>
        </w:tc>
        <w:tc>
          <w:tcPr>
            <w:tcW w:type="dxa" w:w="2880"/>
            <w:tcMar>
              <w:top w:w="80" w:type="dxa"/>
              <w:start w:w="80" w:type="dxa"/>
              <w:bottom w:w="80" w:type="dxa"/>
              <w:end w:w="80" w:type="dxa"/>
            </w:tcMar>
            <w:vAlign w:val="top"/>
          </w:tcPr>
          <w:p>
            <w:pPr>
              <w:spacing w:after="40"/>
            </w:pPr>
            <w:r>
              <w:t>Cross-app SSO later only where appropriate.</w:t>
            </w:r>
          </w:p>
        </w:tc>
      </w:tr>
      <w:tr>
        <w:tc>
          <w:tcPr>
            <w:tcW w:type="dxa" w:w="1224"/>
            <w:tcMar>
              <w:top w:w="80" w:type="dxa"/>
              <w:start w:w="80" w:type="dxa"/>
              <w:bottom w:w="80" w:type="dxa"/>
              <w:end w:w="80" w:type="dxa"/>
            </w:tcMar>
            <w:vAlign w:val="top"/>
          </w:tcPr>
          <w:p>
            <w:pPr>
              <w:spacing w:after="40"/>
            </w:pPr>
            <w:r>
              <w:t>AUTH-009</w:t>
            </w:r>
          </w:p>
        </w:tc>
        <w:tc>
          <w:tcPr>
            <w:tcW w:type="dxa" w:w="5760"/>
            <w:tcMar>
              <w:top w:w="80" w:type="dxa"/>
              <w:start w:w="80" w:type="dxa"/>
              <w:bottom w:w="80" w:type="dxa"/>
              <w:end w:w="80" w:type="dxa"/>
            </w:tcMar>
            <w:vAlign w:val="top"/>
          </w:tcPr>
          <w:p>
            <w:pPr>
              <w:spacing w:after="40"/>
            </w:pPr>
            <w:r>
              <w:t>In-app persona switching.</w:t>
            </w:r>
          </w:p>
        </w:tc>
        <w:tc>
          <w:tcPr>
            <w:tcW w:type="dxa" w:w="1440"/>
            <w:tcMar>
              <w:top w:w="80" w:type="dxa"/>
              <w:start w:w="80" w:type="dxa"/>
              <w:bottom w:w="80" w:type="dxa"/>
              <w:end w:w="80" w:type="dxa"/>
            </w:tcMar>
            <w:vAlign w:val="top"/>
          </w:tcPr>
          <w:p>
            <w:pPr>
              <w:spacing w:after="40"/>
            </w:pPr>
            <w:r>
              <w:t>MVP</w:t>
            </w:r>
          </w:p>
        </w:tc>
        <w:tc>
          <w:tcPr>
            <w:tcW w:type="dxa" w:w="2880"/>
            <w:tcMar>
              <w:top w:w="80" w:type="dxa"/>
              <w:start w:w="80" w:type="dxa"/>
              <w:bottom w:w="80" w:type="dxa"/>
              <w:end w:w="80" w:type="dxa"/>
            </w:tcMar>
            <w:vAlign w:val="top"/>
          </w:tcPr>
          <w:p>
            <w:pPr>
              <w:spacing w:after="40"/>
            </w:pPr>
            <w:r>
              <w:t>Example: PEDL rider/driver switching after authentication.</w:t>
            </w:r>
          </w:p>
        </w:tc>
      </w:tr>
    </w:tbl>
    <w:p/>
    <w:p>
      <w:pPr>
        <w:pStyle w:val="Heading1"/>
      </w:pPr>
      <w:r>
        <w:t>7. Keycloak Design</w:t>
      </w:r>
    </w:p>
    <w:p>
      <w:pPr>
        <w:pStyle w:val="Heading2"/>
      </w:pPr>
      <w:r>
        <w:t>7.1 Realm Strategy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shd w:fill="1F4E78"/>
            <w:tcMar>
              <w:top w:w="80" w:type="dxa"/>
              <w:start w:w="80" w:type="dxa"/>
              <w:bottom w:w="80" w:type="dxa"/>
              <w:end w:w="80" w:type="dxa"/>
            </w:tcMar>
            <w:vAlign w:val="center"/>
          </w:tcPr>
          <w:p>
            <w:pPr>
              <w:spacing w:after="40"/>
            </w:pPr>
            <w:r>
              <w:rPr>
                <w:b/>
                <w:color w:val="FFFFFF"/>
              </w:rPr>
              <w:t>Realm Type</w:t>
            </w:r>
          </w:p>
        </w:tc>
        <w:tc>
          <w:tcPr>
            <w:tcW w:type="dxa" w:w="6048"/>
            <w:shd w:fill="1F4E78"/>
            <w:tcMar>
              <w:top w:w="80" w:type="dxa"/>
              <w:start w:w="80" w:type="dxa"/>
              <w:bottom w:w="80" w:type="dxa"/>
              <w:end w:w="80" w:type="dxa"/>
            </w:tcMar>
            <w:vAlign w:val="center"/>
          </w:tcPr>
          <w:p>
            <w:pPr>
              <w:spacing w:after="40"/>
            </w:pPr>
            <w:r>
              <w:rPr>
                <w:b/>
                <w:color w:val="FFFFFF"/>
              </w:rPr>
              <w:t>Use When</w:t>
            </w:r>
          </w:p>
        </w:tc>
        <w:tc>
          <w:tcPr>
            <w:tcW w:type="dxa" w:w="2880"/>
            <w:shd w:fill="1F4E78"/>
            <w:tcMar>
              <w:top w:w="80" w:type="dxa"/>
              <w:start w:w="80" w:type="dxa"/>
              <w:bottom w:w="80" w:type="dxa"/>
              <w:end w:w="80" w:type="dxa"/>
            </w:tcMar>
            <w:vAlign w:val="center"/>
          </w:tcPr>
          <w:p>
            <w:pPr>
              <w:spacing w:after="40"/>
            </w:pPr>
            <w:r>
              <w:rPr>
                <w:b/>
                <w:color w:val="FFFFFF"/>
              </w:rPr>
              <w:t>Examples</w:t>
            </w:r>
          </w:p>
        </w:tc>
      </w:tr>
      <w:tr>
        <w:tc>
          <w:tcPr>
            <w:tcW w:type="dxa" w:w="2160"/>
            <w:tcMar>
              <w:top w:w="80" w:type="dxa"/>
              <w:start w:w="80" w:type="dxa"/>
              <w:bottom w:w="80" w:type="dxa"/>
              <w:end w:w="80" w:type="dxa"/>
            </w:tcMar>
            <w:vAlign w:val="top"/>
          </w:tcPr>
          <w:p>
            <w:pPr>
              <w:spacing w:after="40"/>
            </w:pPr>
            <w:r>
              <w:t>myriad-internal</w:t>
            </w:r>
          </w:p>
        </w:tc>
        <w:tc>
          <w:tcPr>
            <w:tcW w:type="dxa" w:w="6048"/>
            <w:tcMar>
              <w:top w:w="80" w:type="dxa"/>
              <w:start w:w="80" w:type="dxa"/>
              <w:bottom w:w="80" w:type="dxa"/>
              <w:end w:w="80" w:type="dxa"/>
            </w:tcMar>
            <w:vAlign w:val="top"/>
          </w:tcPr>
          <w:p>
            <w:pPr>
              <w:spacing w:after="40"/>
            </w:pPr>
            <w:r>
              <w:t>For Myriad employees, support users, system administrators, and HEIMDALL administrators.</w:t>
            </w:r>
          </w:p>
        </w:tc>
        <w:tc>
          <w:tcPr>
            <w:tcW w:type="dxa" w:w="2880"/>
            <w:tcMar>
              <w:top w:w="80" w:type="dxa"/>
              <w:start w:w="80" w:type="dxa"/>
              <w:bottom w:w="80" w:type="dxa"/>
              <w:end w:w="80" w:type="dxa"/>
            </w:tcMar>
            <w:vAlign w:val="top"/>
          </w:tcPr>
          <w:p>
            <w:pPr>
              <w:spacing w:after="40"/>
            </w:pPr>
            <w:r>
              <w:t>Myriad Core Dashboard, HEIMDALL Admin.</w:t>
            </w:r>
          </w:p>
        </w:tc>
      </w:tr>
      <w:tr>
        <w:tc>
          <w:tcPr>
            <w:tcW w:type="dxa" w:w="2160"/>
            <w:tcMar>
              <w:top w:w="80" w:type="dxa"/>
              <w:start w:w="80" w:type="dxa"/>
              <w:bottom w:w="80" w:type="dxa"/>
              <w:end w:w="80" w:type="dxa"/>
            </w:tcMar>
            <w:vAlign w:val="top"/>
          </w:tcPr>
          <w:p>
            <w:pPr>
              <w:spacing w:after="40"/>
            </w:pPr>
            <w:r>
              <w:t>myriad-products</w:t>
            </w:r>
          </w:p>
        </w:tc>
        <w:tc>
          <w:tcPr>
            <w:tcW w:type="dxa" w:w="6048"/>
            <w:tcMar>
              <w:top w:w="80" w:type="dxa"/>
              <w:start w:w="80" w:type="dxa"/>
              <w:bottom w:w="80" w:type="dxa"/>
              <w:end w:w="80" w:type="dxa"/>
            </w:tcMar>
            <w:vAlign w:val="top"/>
          </w:tcPr>
          <w:p>
            <w:pPr>
              <w:spacing w:after="40"/>
            </w:pPr>
            <w:r>
              <w:t>For shared Myriad consumer/customer apps where cross-product identity visibility may be supported.</w:t>
            </w:r>
          </w:p>
        </w:tc>
        <w:tc>
          <w:tcPr>
            <w:tcW w:type="dxa" w:w="2880"/>
            <w:tcMar>
              <w:top w:w="80" w:type="dxa"/>
              <w:start w:w="80" w:type="dxa"/>
              <w:bottom w:w="80" w:type="dxa"/>
              <w:end w:w="80" w:type="dxa"/>
            </w:tcMar>
            <w:vAlign w:val="top"/>
          </w:tcPr>
          <w:p>
            <w:pPr>
              <w:spacing w:after="40"/>
            </w:pPr>
            <w:r>
              <w:t>PEDL, Quest, shared Myriad apps.</w:t>
            </w:r>
          </w:p>
        </w:tc>
      </w:tr>
      <w:tr>
        <w:tc>
          <w:tcPr>
            <w:tcW w:type="dxa" w:w="2160"/>
            <w:tcMar>
              <w:top w:w="80" w:type="dxa"/>
              <w:start w:w="80" w:type="dxa"/>
              <w:bottom w:w="80" w:type="dxa"/>
              <w:end w:w="80" w:type="dxa"/>
            </w:tcMar>
            <w:vAlign w:val="top"/>
          </w:tcPr>
          <w:p>
            <w:pPr>
              <w:spacing w:after="40"/>
            </w:pPr>
            <w:r>
              <w:t>client-{slug}</w:t>
            </w:r>
          </w:p>
        </w:tc>
        <w:tc>
          <w:tcPr>
            <w:tcW w:type="dxa" w:w="6048"/>
            <w:tcMar>
              <w:top w:w="80" w:type="dxa"/>
              <w:start w:w="80" w:type="dxa"/>
              <w:bottom w:w="80" w:type="dxa"/>
              <w:end w:w="80" w:type="dxa"/>
            </w:tcMar>
            <w:vAlign w:val="top"/>
          </w:tcPr>
          <w:p>
            <w:pPr>
              <w:spacing w:after="40"/>
            </w:pPr>
            <w:r>
              <w:t>Only when true white-label isolation, separate branding, legal separation, separate SSO, or hidden identity context is required.</w:t>
            </w:r>
          </w:p>
        </w:tc>
        <w:tc>
          <w:tcPr>
            <w:tcW w:type="dxa" w:w="2880"/>
            <w:tcMar>
              <w:top w:w="80" w:type="dxa"/>
              <w:start w:w="80" w:type="dxa"/>
              <w:bottom w:w="80" w:type="dxa"/>
              <w:end w:w="80" w:type="dxa"/>
            </w:tcMar>
            <w:vAlign w:val="top"/>
          </w:tcPr>
          <w:p>
            <w:pPr>
              <w:spacing w:after="40"/>
            </w:pPr>
            <w:r>
              <w:t>Client-branded login, enterprise SSO tenant, distinct customer experience.</w:t>
            </w:r>
          </w:p>
        </w:tc>
      </w:tr>
    </w:tbl>
    <w:p/>
    <w:p>
      <w:r>
        <w:t>Realm decision rule: default to a shared realm plus tenant/organization modeling. Create a separate realm only where white-label branding, identity visibility, legal/compliance separation, or SSO isolation requires it.</w:t>
      </w:r>
    </w:p>
    <w:p>
      <w:pPr>
        <w:pStyle w:val="Heading2"/>
      </w:pPr>
      <w:r>
        <w:t>7.2 Client Model</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880"/>
            <w:shd w:fill="1F4E78"/>
            <w:tcMar>
              <w:top w:w="80" w:type="dxa"/>
              <w:start w:w="80" w:type="dxa"/>
              <w:bottom w:w="80" w:type="dxa"/>
              <w:end w:w="80" w:type="dxa"/>
            </w:tcMar>
            <w:vAlign w:val="center"/>
          </w:tcPr>
          <w:p>
            <w:pPr>
              <w:spacing w:after="40"/>
            </w:pPr>
            <w:r>
              <w:rPr>
                <w:b/>
                <w:color w:val="FFFFFF"/>
              </w:rPr>
              <w:t>Client</w:t>
            </w:r>
          </w:p>
        </w:tc>
        <w:tc>
          <w:tcPr>
            <w:tcW w:type="dxa" w:w="2592"/>
            <w:shd w:fill="1F4E78"/>
            <w:tcMar>
              <w:top w:w="80" w:type="dxa"/>
              <w:start w:w="80" w:type="dxa"/>
              <w:bottom w:w="80" w:type="dxa"/>
              <w:end w:w="80" w:type="dxa"/>
            </w:tcMar>
            <w:vAlign w:val="center"/>
          </w:tcPr>
          <w:p>
            <w:pPr>
              <w:spacing w:after="40"/>
            </w:pPr>
            <w:r>
              <w:rPr>
                <w:b/>
                <w:color w:val="FFFFFF"/>
              </w:rPr>
              <w:t>Type</w:t>
            </w:r>
          </w:p>
        </w:tc>
        <w:tc>
          <w:tcPr>
            <w:tcW w:type="dxa" w:w="2448"/>
            <w:shd w:fill="1F4E78"/>
            <w:tcMar>
              <w:top w:w="80" w:type="dxa"/>
              <w:start w:w="80" w:type="dxa"/>
              <w:bottom w:w="80" w:type="dxa"/>
              <w:end w:w="80" w:type="dxa"/>
            </w:tcMar>
            <w:vAlign w:val="center"/>
          </w:tcPr>
          <w:p>
            <w:pPr>
              <w:spacing w:after="40"/>
            </w:pPr>
            <w:r>
              <w:rPr>
                <w:b/>
                <w:color w:val="FFFFFF"/>
              </w:rPr>
              <w:t>Initial Realm</w:t>
            </w:r>
          </w:p>
        </w:tc>
        <w:tc>
          <w:tcPr>
            <w:tcW w:type="dxa" w:w="3168"/>
            <w:shd w:fill="1F4E78"/>
            <w:tcMar>
              <w:top w:w="80" w:type="dxa"/>
              <w:start w:w="80" w:type="dxa"/>
              <w:bottom w:w="80" w:type="dxa"/>
              <w:end w:w="80" w:type="dxa"/>
            </w:tcMar>
            <w:vAlign w:val="center"/>
          </w:tcPr>
          <w:p>
            <w:pPr>
              <w:spacing w:after="40"/>
            </w:pPr>
            <w:r>
              <w:rPr>
                <w:b/>
                <w:color w:val="FFFFFF"/>
              </w:rPr>
              <w:t>Notes</w:t>
            </w:r>
          </w:p>
        </w:tc>
      </w:tr>
      <w:tr>
        <w:tc>
          <w:tcPr>
            <w:tcW w:type="dxa" w:w="2880"/>
            <w:tcMar>
              <w:top w:w="80" w:type="dxa"/>
              <w:start w:w="80" w:type="dxa"/>
              <w:bottom w:w="80" w:type="dxa"/>
              <w:end w:w="80" w:type="dxa"/>
            </w:tcMar>
            <w:vAlign w:val="top"/>
          </w:tcPr>
          <w:p>
            <w:pPr>
              <w:spacing w:after="40"/>
            </w:pPr>
            <w:r>
              <w:t>myriad-core-dashboard</w:t>
            </w:r>
          </w:p>
        </w:tc>
        <w:tc>
          <w:tcPr>
            <w:tcW w:type="dxa" w:w="2592"/>
            <w:tcMar>
              <w:top w:w="80" w:type="dxa"/>
              <w:start w:w="80" w:type="dxa"/>
              <w:bottom w:w="80" w:type="dxa"/>
              <w:end w:w="80" w:type="dxa"/>
            </w:tcMar>
            <w:vAlign w:val="top"/>
          </w:tcPr>
          <w:p>
            <w:pPr>
              <w:spacing w:after="40"/>
            </w:pPr>
            <w:r>
              <w:t>Confidential web client</w:t>
            </w:r>
          </w:p>
        </w:tc>
        <w:tc>
          <w:tcPr>
            <w:tcW w:type="dxa" w:w="2448"/>
            <w:tcMar>
              <w:top w:w="80" w:type="dxa"/>
              <w:start w:w="80" w:type="dxa"/>
              <w:bottom w:w="80" w:type="dxa"/>
              <w:end w:w="80" w:type="dxa"/>
            </w:tcMar>
            <w:vAlign w:val="top"/>
          </w:tcPr>
          <w:p>
            <w:pPr>
              <w:spacing w:after="40"/>
            </w:pPr>
            <w:r>
              <w:t>myriad-internal</w:t>
            </w:r>
          </w:p>
        </w:tc>
        <w:tc>
          <w:tcPr>
            <w:tcW w:type="dxa" w:w="3168"/>
            <w:tcMar>
              <w:top w:w="80" w:type="dxa"/>
              <w:start w:w="80" w:type="dxa"/>
              <w:bottom w:w="80" w:type="dxa"/>
              <w:end w:w="80" w:type="dxa"/>
            </w:tcMar>
            <w:vAlign w:val="top"/>
          </w:tcPr>
          <w:p>
            <w:pPr>
              <w:spacing w:after="40"/>
            </w:pPr>
            <w:r>
              <w:t>Internal Myriad admin and business dashboard.</w:t>
            </w:r>
          </w:p>
        </w:tc>
      </w:tr>
      <w:tr>
        <w:tc>
          <w:tcPr>
            <w:tcW w:type="dxa" w:w="2880"/>
            <w:tcMar>
              <w:top w:w="80" w:type="dxa"/>
              <w:start w:w="80" w:type="dxa"/>
              <w:bottom w:w="80" w:type="dxa"/>
              <w:end w:w="80" w:type="dxa"/>
            </w:tcMar>
            <w:vAlign w:val="top"/>
          </w:tcPr>
          <w:p>
            <w:pPr>
              <w:spacing w:after="40"/>
            </w:pPr>
            <w:r>
              <w:t>heimdall-admin</w:t>
            </w:r>
          </w:p>
        </w:tc>
        <w:tc>
          <w:tcPr>
            <w:tcW w:type="dxa" w:w="2592"/>
            <w:tcMar>
              <w:top w:w="80" w:type="dxa"/>
              <w:start w:w="80" w:type="dxa"/>
              <w:bottom w:w="80" w:type="dxa"/>
              <w:end w:w="80" w:type="dxa"/>
            </w:tcMar>
            <w:vAlign w:val="top"/>
          </w:tcPr>
          <w:p>
            <w:pPr>
              <w:spacing w:after="40"/>
            </w:pPr>
            <w:r>
              <w:t>Confidential web client</w:t>
            </w:r>
          </w:p>
        </w:tc>
        <w:tc>
          <w:tcPr>
            <w:tcW w:type="dxa" w:w="2448"/>
            <w:tcMar>
              <w:top w:w="80" w:type="dxa"/>
              <w:start w:w="80" w:type="dxa"/>
              <w:bottom w:w="80" w:type="dxa"/>
              <w:end w:w="80" w:type="dxa"/>
            </w:tcMar>
            <w:vAlign w:val="top"/>
          </w:tcPr>
          <w:p>
            <w:pPr>
              <w:spacing w:after="40"/>
            </w:pPr>
            <w:r>
              <w:t>myriad-internal</w:t>
            </w:r>
          </w:p>
        </w:tc>
        <w:tc>
          <w:tcPr>
            <w:tcW w:type="dxa" w:w="3168"/>
            <w:tcMar>
              <w:top w:w="80" w:type="dxa"/>
              <w:start w:w="80" w:type="dxa"/>
              <w:bottom w:w="80" w:type="dxa"/>
              <w:end w:w="80" w:type="dxa"/>
            </w:tcMar>
            <w:vAlign w:val="top"/>
          </w:tcPr>
          <w:p>
            <w:pPr>
              <w:spacing w:after="40"/>
            </w:pPr>
            <w:r>
              <w:t>Restricted HEIMDALL administration.</w:t>
            </w:r>
          </w:p>
        </w:tc>
      </w:tr>
      <w:tr>
        <w:tc>
          <w:tcPr>
            <w:tcW w:type="dxa" w:w="2880"/>
            <w:tcMar>
              <w:top w:w="80" w:type="dxa"/>
              <w:start w:w="80" w:type="dxa"/>
              <w:bottom w:w="80" w:type="dxa"/>
              <w:end w:w="80" w:type="dxa"/>
            </w:tcMar>
            <w:vAlign w:val="top"/>
          </w:tcPr>
          <w:p>
            <w:pPr>
              <w:spacing w:after="40"/>
            </w:pPr>
            <w:r>
              <w:t>pedl-rider-web</w:t>
            </w:r>
          </w:p>
        </w:tc>
        <w:tc>
          <w:tcPr>
            <w:tcW w:type="dxa" w:w="2592"/>
            <w:tcMar>
              <w:top w:w="80" w:type="dxa"/>
              <w:start w:w="80" w:type="dxa"/>
              <w:bottom w:w="80" w:type="dxa"/>
              <w:end w:w="80" w:type="dxa"/>
            </w:tcMar>
            <w:vAlign w:val="top"/>
          </w:tcPr>
          <w:p>
            <w:pPr>
              <w:spacing w:after="40"/>
            </w:pPr>
            <w:r>
              <w:t>Public/SPA or confidential depending implementation</w:t>
            </w:r>
          </w:p>
        </w:tc>
        <w:tc>
          <w:tcPr>
            <w:tcW w:type="dxa" w:w="2448"/>
            <w:tcMar>
              <w:top w:w="80" w:type="dxa"/>
              <w:start w:w="80" w:type="dxa"/>
              <w:bottom w:w="80" w:type="dxa"/>
              <w:end w:w="80" w:type="dxa"/>
            </w:tcMar>
            <w:vAlign w:val="top"/>
          </w:tcPr>
          <w:p>
            <w:pPr>
              <w:spacing w:after="40"/>
            </w:pPr>
            <w:r>
              <w:t>myriad-products</w:t>
            </w:r>
          </w:p>
        </w:tc>
        <w:tc>
          <w:tcPr>
            <w:tcW w:type="dxa" w:w="3168"/>
            <w:tcMar>
              <w:top w:w="80" w:type="dxa"/>
              <w:start w:w="80" w:type="dxa"/>
              <w:bottom w:w="80" w:type="dxa"/>
              <w:end w:w="80" w:type="dxa"/>
            </w:tcMar>
            <w:vAlign w:val="top"/>
          </w:tcPr>
          <w:p>
            <w:pPr>
              <w:spacing w:after="40"/>
            </w:pPr>
            <w:r>
              <w:t>Customer-facing web/mobile web.</w:t>
            </w:r>
          </w:p>
        </w:tc>
      </w:tr>
      <w:tr>
        <w:tc>
          <w:tcPr>
            <w:tcW w:type="dxa" w:w="2880"/>
            <w:tcMar>
              <w:top w:w="80" w:type="dxa"/>
              <w:start w:w="80" w:type="dxa"/>
              <w:bottom w:w="80" w:type="dxa"/>
              <w:end w:w="80" w:type="dxa"/>
            </w:tcMar>
            <w:vAlign w:val="top"/>
          </w:tcPr>
          <w:p>
            <w:pPr>
              <w:spacing w:after="40"/>
            </w:pPr>
            <w:r>
              <w:t>pedl-driver-mobile</w:t>
            </w:r>
          </w:p>
        </w:tc>
        <w:tc>
          <w:tcPr>
            <w:tcW w:type="dxa" w:w="2592"/>
            <w:tcMar>
              <w:top w:w="80" w:type="dxa"/>
              <w:start w:w="80" w:type="dxa"/>
              <w:bottom w:w="80" w:type="dxa"/>
              <w:end w:w="80" w:type="dxa"/>
            </w:tcMar>
            <w:vAlign w:val="top"/>
          </w:tcPr>
          <w:p>
            <w:pPr>
              <w:spacing w:after="40"/>
            </w:pPr>
            <w:r>
              <w:t>Public/native/mobile</w:t>
            </w:r>
          </w:p>
        </w:tc>
        <w:tc>
          <w:tcPr>
            <w:tcW w:type="dxa" w:w="2448"/>
            <w:tcMar>
              <w:top w:w="80" w:type="dxa"/>
              <w:start w:w="80" w:type="dxa"/>
              <w:bottom w:w="80" w:type="dxa"/>
              <w:end w:w="80" w:type="dxa"/>
            </w:tcMar>
            <w:vAlign w:val="top"/>
          </w:tcPr>
          <w:p>
            <w:pPr>
              <w:spacing w:after="40"/>
            </w:pPr>
            <w:r>
              <w:t>myriad-products</w:t>
            </w:r>
          </w:p>
        </w:tc>
        <w:tc>
          <w:tcPr>
            <w:tcW w:type="dxa" w:w="3168"/>
            <w:tcMar>
              <w:top w:w="80" w:type="dxa"/>
              <w:start w:w="80" w:type="dxa"/>
              <w:bottom w:w="80" w:type="dxa"/>
              <w:end w:w="80" w:type="dxa"/>
            </w:tcMar>
            <w:vAlign w:val="top"/>
          </w:tcPr>
          <w:p>
            <w:pPr>
              <w:spacing w:after="40"/>
            </w:pPr>
            <w:r>
              <w:t>Field driver app with persona selection.</w:t>
            </w:r>
          </w:p>
        </w:tc>
      </w:tr>
      <w:tr>
        <w:tc>
          <w:tcPr>
            <w:tcW w:type="dxa" w:w="2880"/>
            <w:tcMar>
              <w:top w:w="80" w:type="dxa"/>
              <w:start w:w="80" w:type="dxa"/>
              <w:bottom w:w="80" w:type="dxa"/>
              <w:end w:w="80" w:type="dxa"/>
            </w:tcMar>
            <w:vAlign w:val="top"/>
          </w:tcPr>
          <w:p>
            <w:pPr>
              <w:spacing w:after="40"/>
            </w:pPr>
            <w:r>
              <w:t>pedl-admin-dashboard</w:t>
            </w:r>
          </w:p>
        </w:tc>
        <w:tc>
          <w:tcPr>
            <w:tcW w:type="dxa" w:w="2592"/>
            <w:tcMar>
              <w:top w:w="80" w:type="dxa"/>
              <w:start w:w="80" w:type="dxa"/>
              <w:bottom w:w="80" w:type="dxa"/>
              <w:end w:w="80" w:type="dxa"/>
            </w:tcMar>
            <w:vAlign w:val="top"/>
          </w:tcPr>
          <w:p>
            <w:pPr>
              <w:spacing w:after="40"/>
            </w:pPr>
            <w:r>
              <w:t>Confidential web client</w:t>
            </w:r>
          </w:p>
        </w:tc>
        <w:tc>
          <w:tcPr>
            <w:tcW w:type="dxa" w:w="2448"/>
            <w:tcMar>
              <w:top w:w="80" w:type="dxa"/>
              <w:start w:w="80" w:type="dxa"/>
              <w:bottom w:w="80" w:type="dxa"/>
              <w:end w:w="80" w:type="dxa"/>
            </w:tcMar>
            <w:vAlign w:val="top"/>
          </w:tcPr>
          <w:p>
            <w:pPr>
              <w:spacing w:after="40"/>
            </w:pPr>
            <w:r>
              <w:t>myriad-products or client realm</w:t>
            </w:r>
          </w:p>
        </w:tc>
        <w:tc>
          <w:tcPr>
            <w:tcW w:type="dxa" w:w="3168"/>
            <w:tcMar>
              <w:top w:w="80" w:type="dxa"/>
              <w:start w:w="80" w:type="dxa"/>
              <w:bottom w:w="80" w:type="dxa"/>
              <w:end w:w="80" w:type="dxa"/>
            </w:tcMar>
            <w:vAlign w:val="top"/>
          </w:tcPr>
          <w:p>
            <w:pPr>
              <w:spacing w:after="40"/>
            </w:pPr>
            <w:r>
              <w:t>Org/operator management.</w:t>
            </w:r>
          </w:p>
        </w:tc>
      </w:tr>
      <w:tr>
        <w:tc>
          <w:tcPr>
            <w:tcW w:type="dxa" w:w="2880"/>
            <w:tcMar>
              <w:top w:w="80" w:type="dxa"/>
              <w:start w:w="80" w:type="dxa"/>
              <w:bottom w:w="80" w:type="dxa"/>
              <w:end w:w="80" w:type="dxa"/>
            </w:tcMar>
            <w:vAlign w:val="top"/>
          </w:tcPr>
          <w:p>
            <w:pPr>
              <w:spacing w:after="40"/>
            </w:pPr>
            <w:r>
              <w:t>quest-attendee-web</w:t>
            </w:r>
          </w:p>
        </w:tc>
        <w:tc>
          <w:tcPr>
            <w:tcW w:type="dxa" w:w="2592"/>
            <w:tcMar>
              <w:top w:w="80" w:type="dxa"/>
              <w:start w:w="80" w:type="dxa"/>
              <w:bottom w:w="80" w:type="dxa"/>
              <w:end w:w="80" w:type="dxa"/>
            </w:tcMar>
            <w:vAlign w:val="top"/>
          </w:tcPr>
          <w:p>
            <w:pPr>
              <w:spacing w:after="40"/>
            </w:pPr>
            <w:r>
              <w:t>Public/SPA</w:t>
            </w:r>
          </w:p>
        </w:tc>
        <w:tc>
          <w:tcPr>
            <w:tcW w:type="dxa" w:w="2448"/>
            <w:tcMar>
              <w:top w:w="80" w:type="dxa"/>
              <w:start w:w="80" w:type="dxa"/>
              <w:bottom w:w="80" w:type="dxa"/>
              <w:end w:w="80" w:type="dxa"/>
            </w:tcMar>
            <w:vAlign w:val="top"/>
          </w:tcPr>
          <w:p>
            <w:pPr>
              <w:spacing w:after="40"/>
            </w:pPr>
            <w:r>
              <w:t>myriad-products</w:t>
            </w:r>
          </w:p>
        </w:tc>
        <w:tc>
          <w:tcPr>
            <w:tcW w:type="dxa" w:w="3168"/>
            <w:tcMar>
              <w:top w:w="80" w:type="dxa"/>
              <w:start w:w="80" w:type="dxa"/>
              <w:bottom w:w="80" w:type="dxa"/>
              <w:end w:w="80" w:type="dxa"/>
            </w:tcMar>
            <w:vAlign w:val="top"/>
          </w:tcPr>
          <w:p>
            <w:pPr>
              <w:spacing w:after="40"/>
            </w:pPr>
            <w:r>
              <w:t>Ticketing/event/experiential app.</w:t>
            </w:r>
          </w:p>
        </w:tc>
      </w:tr>
      <w:tr>
        <w:tc>
          <w:tcPr>
            <w:tcW w:type="dxa" w:w="2880"/>
            <w:tcMar>
              <w:top w:w="80" w:type="dxa"/>
              <w:start w:w="80" w:type="dxa"/>
              <w:bottom w:w="80" w:type="dxa"/>
              <w:end w:w="80" w:type="dxa"/>
            </w:tcMar>
            <w:vAlign w:val="top"/>
          </w:tcPr>
          <w:p>
            <w:pPr>
              <w:spacing w:after="40"/>
            </w:pPr>
            <w:r>
              <w:t>quest-organizer-dashboard</w:t>
            </w:r>
          </w:p>
        </w:tc>
        <w:tc>
          <w:tcPr>
            <w:tcW w:type="dxa" w:w="2592"/>
            <w:tcMar>
              <w:top w:w="80" w:type="dxa"/>
              <w:start w:w="80" w:type="dxa"/>
              <w:bottom w:w="80" w:type="dxa"/>
              <w:end w:w="80" w:type="dxa"/>
            </w:tcMar>
            <w:vAlign w:val="top"/>
          </w:tcPr>
          <w:p>
            <w:pPr>
              <w:spacing w:after="40"/>
            </w:pPr>
            <w:r>
              <w:t>Confidential web client</w:t>
            </w:r>
          </w:p>
        </w:tc>
        <w:tc>
          <w:tcPr>
            <w:tcW w:type="dxa" w:w="2448"/>
            <w:tcMar>
              <w:top w:w="80" w:type="dxa"/>
              <w:start w:w="80" w:type="dxa"/>
              <w:bottom w:w="80" w:type="dxa"/>
              <w:end w:w="80" w:type="dxa"/>
            </w:tcMar>
            <w:vAlign w:val="top"/>
          </w:tcPr>
          <w:p>
            <w:pPr>
              <w:spacing w:after="40"/>
            </w:pPr>
            <w:r>
              <w:t>myriad-products or client realm</w:t>
            </w:r>
          </w:p>
        </w:tc>
        <w:tc>
          <w:tcPr>
            <w:tcW w:type="dxa" w:w="3168"/>
            <w:tcMar>
              <w:top w:w="80" w:type="dxa"/>
              <w:start w:w="80" w:type="dxa"/>
              <w:bottom w:w="80" w:type="dxa"/>
              <w:end w:w="80" w:type="dxa"/>
            </w:tcMar>
            <w:vAlign w:val="top"/>
          </w:tcPr>
          <w:p>
            <w:pPr>
              <w:spacing w:after="40"/>
            </w:pPr>
            <w:r>
              <w:t>Event organizer dashboard.</w:t>
            </w:r>
          </w:p>
        </w:tc>
      </w:tr>
    </w:tbl>
    <w:p/>
    <w:p>
      <w:pPr>
        <w:pStyle w:val="Heading1"/>
      </w:pPr>
      <w:r>
        <w:t>8. Tenant, Client, and White-Label Requirements</w:t>
      </w:r>
    </w:p>
    <w:p>
      <w:pPr>
        <w:pStyle w:val="ListBullet"/>
      </w:pPr>
      <w:r>
        <w:t>Support tenant-specific login themes, domains, email templates, SMS templates, callback URLs, and branding metadata.</w:t>
      </w:r>
    </w:p>
    <w:p>
      <w:pPr>
        <w:pStyle w:val="ListBullet"/>
      </w:pPr>
      <w:r>
        <w:t>Support tenants that are not aware of or not visibly connected to other Myriad-backed apps.</w:t>
      </w:r>
    </w:p>
    <w:p>
      <w:pPr>
        <w:pStyle w:val="ListBullet"/>
      </w:pPr>
      <w:r>
        <w:t>Support future user notification that separate white-label accounts may be linked or unlinked by choice.</w:t>
      </w:r>
    </w:p>
    <w:p>
      <w:pPr>
        <w:pStyle w:val="ListBullet"/>
      </w:pPr>
      <w:r>
        <w:t>Support tenant-level security policies later, including MFA, SSO requirement, allowed login providers, session duration, and device rules.</w:t>
      </w:r>
    </w:p>
    <w:p>
      <w:pPr>
        <w:pStyle w:val="ListBullet"/>
      </w:pPr>
      <w:r>
        <w:t>Support Myriad internal tenant, client/operator tenants, organizations, departments, events, fleets, venues, and customer contexts.</w:t>
      </w:r>
    </w:p>
    <w:p>
      <w:pPr>
        <w:pStyle w:val="Heading1"/>
      </w:pPr>
      <w:r>
        <w:t>9. Child / Minor Account Requirements</w:t>
      </w:r>
    </w:p>
    <w:p>
      <w:r>
        <w:t>Child/minor support is an immediate requirement. HEIMDALL must be designed to restrict roles, communications, data visibility, consent, and account actions for minors from the beginning.</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152"/>
            <w:shd w:fill="1F4E78"/>
            <w:tcMar>
              <w:top w:w="80" w:type="dxa"/>
              <w:start w:w="80" w:type="dxa"/>
              <w:bottom w:w="80" w:type="dxa"/>
              <w:end w:w="80" w:type="dxa"/>
            </w:tcMar>
            <w:vAlign w:val="center"/>
          </w:tcPr>
          <w:p>
            <w:pPr>
              <w:spacing w:after="40"/>
            </w:pPr>
            <w:r>
              <w:rPr>
                <w:b/>
                <w:color w:val="FFFFFF"/>
              </w:rPr>
              <w:t>ID</w:t>
            </w:r>
          </w:p>
        </w:tc>
        <w:tc>
          <w:tcPr>
            <w:tcW w:type="dxa" w:w="6912"/>
            <w:shd w:fill="1F4E78"/>
            <w:tcMar>
              <w:top w:w="80" w:type="dxa"/>
              <w:start w:w="80" w:type="dxa"/>
              <w:bottom w:w="80" w:type="dxa"/>
              <w:end w:w="80" w:type="dxa"/>
            </w:tcMar>
            <w:vAlign w:val="center"/>
          </w:tcPr>
          <w:p>
            <w:pPr>
              <w:spacing w:after="40"/>
            </w:pPr>
            <w:r>
              <w:rPr>
                <w:b/>
                <w:color w:val="FFFFFF"/>
              </w:rPr>
              <w:t>Requirement</w:t>
            </w:r>
          </w:p>
        </w:tc>
        <w:tc>
          <w:tcPr>
            <w:tcW w:type="dxa" w:w="1584"/>
            <w:shd w:fill="1F4E78"/>
            <w:tcMar>
              <w:top w:w="80" w:type="dxa"/>
              <w:start w:w="80" w:type="dxa"/>
              <w:bottom w:w="80" w:type="dxa"/>
              <w:end w:w="80" w:type="dxa"/>
            </w:tcMar>
            <w:vAlign w:val="center"/>
          </w:tcPr>
          <w:p>
            <w:pPr>
              <w:spacing w:after="40"/>
            </w:pPr>
            <w:r>
              <w:rPr>
                <w:b/>
                <w:color w:val="FFFFFF"/>
              </w:rPr>
              <w:t>Phase</w:t>
            </w:r>
          </w:p>
        </w:tc>
        <w:tc>
          <w:tcPr>
            <w:tcW w:type="dxa" w:w="1296"/>
            <w:shd w:fill="1F4E78"/>
            <w:tcMar>
              <w:top w:w="80" w:type="dxa"/>
              <w:start w:w="80" w:type="dxa"/>
              <w:bottom w:w="80" w:type="dxa"/>
              <w:end w:w="80" w:type="dxa"/>
            </w:tcMar>
            <w:vAlign w:val="center"/>
          </w:tcPr>
          <w:p>
            <w:pPr>
              <w:spacing w:after="40"/>
            </w:pPr>
            <w:r>
              <w:rPr>
                <w:b/>
                <w:color w:val="FFFFFF"/>
              </w:rPr>
              <w:t>Priority</w:t>
            </w:r>
          </w:p>
        </w:tc>
      </w:tr>
      <w:tr>
        <w:tc>
          <w:tcPr>
            <w:tcW w:type="dxa" w:w="1152"/>
            <w:tcMar>
              <w:top w:w="80" w:type="dxa"/>
              <w:start w:w="80" w:type="dxa"/>
              <w:bottom w:w="80" w:type="dxa"/>
              <w:end w:w="80" w:type="dxa"/>
            </w:tcMar>
            <w:vAlign w:val="top"/>
          </w:tcPr>
          <w:p>
            <w:pPr>
              <w:spacing w:after="40"/>
            </w:pPr>
            <w:r>
              <w:t>MIN-001</w:t>
            </w:r>
          </w:p>
        </w:tc>
        <w:tc>
          <w:tcPr>
            <w:tcW w:type="dxa" w:w="6912"/>
            <w:tcMar>
              <w:top w:w="80" w:type="dxa"/>
              <w:start w:w="80" w:type="dxa"/>
              <w:bottom w:w="80" w:type="dxa"/>
              <w:end w:w="80" w:type="dxa"/>
            </w:tcMar>
            <w:vAlign w:val="top"/>
          </w:tcPr>
          <w:p>
            <w:pPr>
              <w:spacing w:after="40"/>
            </w:pPr>
            <w:r>
              <w:t>Support minor profile flag and minor-specific account status.</w:t>
            </w:r>
          </w:p>
        </w:tc>
        <w:tc>
          <w:tcPr>
            <w:tcW w:type="dxa" w:w="1584"/>
            <w:tcMar>
              <w:top w:w="80" w:type="dxa"/>
              <w:start w:w="80" w:type="dxa"/>
              <w:bottom w:w="80" w:type="dxa"/>
              <w:end w:w="80" w:type="dxa"/>
            </w:tcMar>
            <w:vAlign w:val="top"/>
          </w:tcPr>
          <w:p>
            <w:pPr>
              <w:spacing w:after="40"/>
            </w:pPr>
            <w:r>
              <w:t>MVP</w:t>
            </w:r>
          </w:p>
        </w:tc>
        <w:tc>
          <w:tcPr>
            <w:tcW w:type="dxa" w:w="1296"/>
            <w:tcMar>
              <w:top w:w="80" w:type="dxa"/>
              <w:start w:w="80" w:type="dxa"/>
              <w:bottom w:w="80" w:type="dxa"/>
              <w:end w:w="80" w:type="dxa"/>
            </w:tcMar>
            <w:vAlign w:val="top"/>
          </w:tcPr>
          <w:p>
            <w:pPr>
              <w:spacing w:after="40"/>
            </w:pPr>
            <w:r>
              <w:t>Must</w:t>
            </w:r>
          </w:p>
        </w:tc>
      </w:tr>
      <w:tr>
        <w:tc>
          <w:tcPr>
            <w:tcW w:type="dxa" w:w="1152"/>
            <w:tcMar>
              <w:top w:w="80" w:type="dxa"/>
              <w:start w:w="80" w:type="dxa"/>
              <w:bottom w:w="80" w:type="dxa"/>
              <w:end w:w="80" w:type="dxa"/>
            </w:tcMar>
            <w:vAlign w:val="top"/>
          </w:tcPr>
          <w:p>
            <w:pPr>
              <w:spacing w:after="40"/>
            </w:pPr>
            <w:r>
              <w:t>MIN-002</w:t>
            </w:r>
          </w:p>
        </w:tc>
        <w:tc>
          <w:tcPr>
            <w:tcW w:type="dxa" w:w="6912"/>
            <w:tcMar>
              <w:top w:w="80" w:type="dxa"/>
              <w:start w:w="80" w:type="dxa"/>
              <w:bottom w:w="80" w:type="dxa"/>
              <w:end w:w="80" w:type="dxa"/>
            </w:tcMar>
            <w:vAlign w:val="top"/>
          </w:tcPr>
          <w:p>
            <w:pPr>
              <w:spacing w:after="40"/>
            </w:pPr>
            <w:r>
              <w:t>Support age attestation at minimum.</w:t>
            </w:r>
          </w:p>
        </w:tc>
        <w:tc>
          <w:tcPr>
            <w:tcW w:type="dxa" w:w="1584"/>
            <w:tcMar>
              <w:top w:w="80" w:type="dxa"/>
              <w:start w:w="80" w:type="dxa"/>
              <w:bottom w:w="80" w:type="dxa"/>
              <w:end w:w="80" w:type="dxa"/>
            </w:tcMar>
            <w:vAlign w:val="top"/>
          </w:tcPr>
          <w:p>
            <w:pPr>
              <w:spacing w:after="40"/>
            </w:pPr>
            <w:r>
              <w:t>MVP</w:t>
            </w:r>
          </w:p>
        </w:tc>
        <w:tc>
          <w:tcPr>
            <w:tcW w:type="dxa" w:w="1296"/>
            <w:tcMar>
              <w:top w:w="80" w:type="dxa"/>
              <w:start w:w="80" w:type="dxa"/>
              <w:bottom w:w="80" w:type="dxa"/>
              <w:end w:w="80" w:type="dxa"/>
            </w:tcMar>
            <w:vAlign w:val="top"/>
          </w:tcPr>
          <w:p>
            <w:pPr>
              <w:spacing w:after="40"/>
            </w:pPr>
            <w:r>
              <w:t>Must</w:t>
            </w:r>
          </w:p>
        </w:tc>
      </w:tr>
      <w:tr>
        <w:tc>
          <w:tcPr>
            <w:tcW w:type="dxa" w:w="1152"/>
            <w:tcMar>
              <w:top w:w="80" w:type="dxa"/>
              <w:start w:w="80" w:type="dxa"/>
              <w:bottom w:w="80" w:type="dxa"/>
              <w:end w:w="80" w:type="dxa"/>
            </w:tcMar>
            <w:vAlign w:val="top"/>
          </w:tcPr>
          <w:p>
            <w:pPr>
              <w:spacing w:after="40"/>
            </w:pPr>
            <w:r>
              <w:t>MIN-003</w:t>
            </w:r>
          </w:p>
        </w:tc>
        <w:tc>
          <w:tcPr>
            <w:tcW w:type="dxa" w:w="6912"/>
            <w:tcMar>
              <w:top w:w="80" w:type="dxa"/>
              <w:start w:w="80" w:type="dxa"/>
              <w:bottom w:w="80" w:type="dxa"/>
              <w:end w:w="80" w:type="dxa"/>
            </w:tcMar>
            <w:vAlign w:val="top"/>
          </w:tcPr>
          <w:p>
            <w:pPr>
              <w:spacing w:after="40"/>
            </w:pPr>
            <w:r>
              <w:t>Support encrypted date-of-birth field when needed.</w:t>
            </w:r>
          </w:p>
        </w:tc>
        <w:tc>
          <w:tcPr>
            <w:tcW w:type="dxa" w:w="1584"/>
            <w:tcMar>
              <w:top w:w="80" w:type="dxa"/>
              <w:start w:w="80" w:type="dxa"/>
              <w:bottom w:w="80" w:type="dxa"/>
              <w:end w:w="80" w:type="dxa"/>
            </w:tcMar>
            <w:vAlign w:val="top"/>
          </w:tcPr>
          <w:p>
            <w:pPr>
              <w:spacing w:after="40"/>
            </w:pPr>
            <w:r>
              <w:t>MVP/Phase 2</w:t>
            </w:r>
          </w:p>
        </w:tc>
        <w:tc>
          <w:tcPr>
            <w:tcW w:type="dxa" w:w="1296"/>
            <w:tcMar>
              <w:top w:w="80" w:type="dxa"/>
              <w:start w:w="80" w:type="dxa"/>
              <w:bottom w:w="80" w:type="dxa"/>
              <w:end w:w="80" w:type="dxa"/>
            </w:tcMar>
            <w:vAlign w:val="top"/>
          </w:tcPr>
          <w:p>
            <w:pPr>
              <w:spacing w:after="40"/>
            </w:pPr>
            <w:r>
              <w:t>Should</w:t>
            </w:r>
          </w:p>
        </w:tc>
      </w:tr>
      <w:tr>
        <w:tc>
          <w:tcPr>
            <w:tcW w:type="dxa" w:w="1152"/>
            <w:tcMar>
              <w:top w:w="80" w:type="dxa"/>
              <w:start w:w="80" w:type="dxa"/>
              <w:bottom w:w="80" w:type="dxa"/>
              <w:end w:w="80" w:type="dxa"/>
            </w:tcMar>
            <w:vAlign w:val="top"/>
          </w:tcPr>
          <w:p>
            <w:pPr>
              <w:spacing w:after="40"/>
            </w:pPr>
            <w:r>
              <w:t>MIN-004</w:t>
            </w:r>
          </w:p>
        </w:tc>
        <w:tc>
          <w:tcPr>
            <w:tcW w:type="dxa" w:w="6912"/>
            <w:tcMar>
              <w:top w:w="80" w:type="dxa"/>
              <w:start w:w="80" w:type="dxa"/>
              <w:bottom w:w="80" w:type="dxa"/>
              <w:end w:w="80" w:type="dxa"/>
            </w:tcMar>
            <w:vAlign w:val="top"/>
          </w:tcPr>
          <w:p>
            <w:pPr>
              <w:spacing w:after="40"/>
            </w:pPr>
            <w:r>
              <w:t>Support guardian relationship records.</w:t>
            </w:r>
          </w:p>
        </w:tc>
        <w:tc>
          <w:tcPr>
            <w:tcW w:type="dxa" w:w="1584"/>
            <w:tcMar>
              <w:top w:w="80" w:type="dxa"/>
              <w:start w:w="80" w:type="dxa"/>
              <w:bottom w:w="80" w:type="dxa"/>
              <w:end w:w="80" w:type="dxa"/>
            </w:tcMar>
            <w:vAlign w:val="top"/>
          </w:tcPr>
          <w:p>
            <w:pPr>
              <w:spacing w:after="40"/>
            </w:pPr>
            <w:r>
              <w:t>MVP</w:t>
            </w:r>
          </w:p>
        </w:tc>
        <w:tc>
          <w:tcPr>
            <w:tcW w:type="dxa" w:w="1296"/>
            <w:tcMar>
              <w:top w:w="80" w:type="dxa"/>
              <w:start w:w="80" w:type="dxa"/>
              <w:bottom w:w="80" w:type="dxa"/>
              <w:end w:w="80" w:type="dxa"/>
            </w:tcMar>
            <w:vAlign w:val="top"/>
          </w:tcPr>
          <w:p>
            <w:pPr>
              <w:spacing w:after="40"/>
            </w:pPr>
            <w:r>
              <w:t>Must</w:t>
            </w:r>
          </w:p>
        </w:tc>
      </w:tr>
      <w:tr>
        <w:tc>
          <w:tcPr>
            <w:tcW w:type="dxa" w:w="1152"/>
            <w:tcMar>
              <w:top w:w="80" w:type="dxa"/>
              <w:start w:w="80" w:type="dxa"/>
              <w:bottom w:w="80" w:type="dxa"/>
              <w:end w:w="80" w:type="dxa"/>
            </w:tcMar>
            <w:vAlign w:val="top"/>
          </w:tcPr>
          <w:p>
            <w:pPr>
              <w:spacing w:after="40"/>
            </w:pPr>
            <w:r>
              <w:t>MIN-005</w:t>
            </w:r>
          </w:p>
        </w:tc>
        <w:tc>
          <w:tcPr>
            <w:tcW w:type="dxa" w:w="6912"/>
            <w:tcMar>
              <w:top w:w="80" w:type="dxa"/>
              <w:start w:w="80" w:type="dxa"/>
              <w:bottom w:w="80" w:type="dxa"/>
              <w:end w:w="80" w:type="dxa"/>
            </w:tcMar>
            <w:vAlign w:val="top"/>
          </w:tcPr>
          <w:p>
            <w:pPr>
              <w:spacing w:after="40"/>
            </w:pPr>
            <w:r>
              <w:t>Support guardian consent records and revocation.</w:t>
            </w:r>
          </w:p>
        </w:tc>
        <w:tc>
          <w:tcPr>
            <w:tcW w:type="dxa" w:w="1584"/>
            <w:tcMar>
              <w:top w:w="80" w:type="dxa"/>
              <w:start w:w="80" w:type="dxa"/>
              <w:bottom w:w="80" w:type="dxa"/>
              <w:end w:w="80" w:type="dxa"/>
            </w:tcMar>
            <w:vAlign w:val="top"/>
          </w:tcPr>
          <w:p>
            <w:pPr>
              <w:spacing w:after="40"/>
            </w:pPr>
            <w:r>
              <w:t>MVP</w:t>
            </w:r>
          </w:p>
        </w:tc>
        <w:tc>
          <w:tcPr>
            <w:tcW w:type="dxa" w:w="1296"/>
            <w:tcMar>
              <w:top w:w="80" w:type="dxa"/>
              <w:start w:w="80" w:type="dxa"/>
              <w:bottom w:w="80" w:type="dxa"/>
              <w:end w:w="80" w:type="dxa"/>
            </w:tcMar>
            <w:vAlign w:val="top"/>
          </w:tcPr>
          <w:p>
            <w:pPr>
              <w:spacing w:after="40"/>
            </w:pPr>
            <w:r>
              <w:t>Must</w:t>
            </w:r>
          </w:p>
        </w:tc>
      </w:tr>
      <w:tr>
        <w:tc>
          <w:tcPr>
            <w:tcW w:type="dxa" w:w="1152"/>
            <w:tcMar>
              <w:top w:w="80" w:type="dxa"/>
              <w:start w:w="80" w:type="dxa"/>
              <w:bottom w:w="80" w:type="dxa"/>
              <w:end w:w="80" w:type="dxa"/>
            </w:tcMar>
            <w:vAlign w:val="top"/>
          </w:tcPr>
          <w:p>
            <w:pPr>
              <w:spacing w:after="40"/>
            </w:pPr>
            <w:r>
              <w:t>MIN-006</w:t>
            </w:r>
          </w:p>
        </w:tc>
        <w:tc>
          <w:tcPr>
            <w:tcW w:type="dxa" w:w="6912"/>
            <w:tcMar>
              <w:top w:w="80" w:type="dxa"/>
              <w:start w:w="80" w:type="dxa"/>
              <w:bottom w:w="80" w:type="dxa"/>
              <w:end w:w="80" w:type="dxa"/>
            </w:tcMar>
            <w:vAlign w:val="top"/>
          </w:tcPr>
          <w:p>
            <w:pPr>
              <w:spacing w:after="40"/>
            </w:pPr>
            <w:r>
              <w:t>Support app-specific age policy rules.</w:t>
            </w:r>
          </w:p>
        </w:tc>
        <w:tc>
          <w:tcPr>
            <w:tcW w:type="dxa" w:w="1584"/>
            <w:tcMar>
              <w:top w:w="80" w:type="dxa"/>
              <w:start w:w="80" w:type="dxa"/>
              <w:bottom w:w="80" w:type="dxa"/>
              <w:end w:w="80" w:type="dxa"/>
            </w:tcMar>
            <w:vAlign w:val="top"/>
          </w:tcPr>
          <w:p>
            <w:pPr>
              <w:spacing w:after="40"/>
            </w:pPr>
            <w:r>
              <w:t>MVP</w:t>
            </w:r>
          </w:p>
        </w:tc>
        <w:tc>
          <w:tcPr>
            <w:tcW w:type="dxa" w:w="1296"/>
            <w:tcMar>
              <w:top w:w="80" w:type="dxa"/>
              <w:start w:w="80" w:type="dxa"/>
              <w:bottom w:w="80" w:type="dxa"/>
              <w:end w:w="80" w:type="dxa"/>
            </w:tcMar>
            <w:vAlign w:val="top"/>
          </w:tcPr>
          <w:p>
            <w:pPr>
              <w:spacing w:after="40"/>
            </w:pPr>
            <w:r>
              <w:t>Must</w:t>
            </w:r>
          </w:p>
        </w:tc>
      </w:tr>
      <w:tr>
        <w:tc>
          <w:tcPr>
            <w:tcW w:type="dxa" w:w="1152"/>
            <w:tcMar>
              <w:top w:w="80" w:type="dxa"/>
              <w:start w:w="80" w:type="dxa"/>
              <w:bottom w:w="80" w:type="dxa"/>
              <w:end w:w="80" w:type="dxa"/>
            </w:tcMar>
            <w:vAlign w:val="top"/>
          </w:tcPr>
          <w:p>
            <w:pPr>
              <w:spacing w:after="40"/>
            </w:pPr>
            <w:r>
              <w:t>MIN-007</w:t>
            </w:r>
          </w:p>
        </w:tc>
        <w:tc>
          <w:tcPr>
            <w:tcW w:type="dxa" w:w="6912"/>
            <w:tcMar>
              <w:top w:w="80" w:type="dxa"/>
              <w:start w:w="80" w:type="dxa"/>
              <w:bottom w:w="80" w:type="dxa"/>
              <w:end w:w="80" w:type="dxa"/>
            </w:tcMar>
            <w:vAlign w:val="top"/>
          </w:tcPr>
          <w:p>
            <w:pPr>
              <w:spacing w:after="40"/>
            </w:pPr>
            <w:r>
              <w:t>Support restricted roles and permissions for minors.</w:t>
            </w:r>
          </w:p>
        </w:tc>
        <w:tc>
          <w:tcPr>
            <w:tcW w:type="dxa" w:w="1584"/>
            <w:tcMar>
              <w:top w:w="80" w:type="dxa"/>
              <w:start w:w="80" w:type="dxa"/>
              <w:bottom w:w="80" w:type="dxa"/>
              <w:end w:w="80" w:type="dxa"/>
            </w:tcMar>
            <w:vAlign w:val="top"/>
          </w:tcPr>
          <w:p>
            <w:pPr>
              <w:spacing w:after="40"/>
            </w:pPr>
            <w:r>
              <w:t>MVP</w:t>
            </w:r>
          </w:p>
        </w:tc>
        <w:tc>
          <w:tcPr>
            <w:tcW w:type="dxa" w:w="1296"/>
            <w:tcMar>
              <w:top w:w="80" w:type="dxa"/>
              <w:start w:w="80" w:type="dxa"/>
              <w:bottom w:w="80" w:type="dxa"/>
              <w:end w:w="80" w:type="dxa"/>
            </w:tcMar>
            <w:vAlign w:val="top"/>
          </w:tcPr>
          <w:p>
            <w:pPr>
              <w:spacing w:after="40"/>
            </w:pPr>
            <w:r>
              <w:t>Must</w:t>
            </w:r>
          </w:p>
        </w:tc>
      </w:tr>
      <w:tr>
        <w:tc>
          <w:tcPr>
            <w:tcW w:type="dxa" w:w="1152"/>
            <w:tcMar>
              <w:top w:w="80" w:type="dxa"/>
              <w:start w:w="80" w:type="dxa"/>
              <w:bottom w:w="80" w:type="dxa"/>
              <w:end w:w="80" w:type="dxa"/>
            </w:tcMar>
            <w:vAlign w:val="top"/>
          </w:tcPr>
          <w:p>
            <w:pPr>
              <w:spacing w:after="40"/>
            </w:pPr>
            <w:r>
              <w:t>MIN-008</w:t>
            </w:r>
          </w:p>
        </w:tc>
        <w:tc>
          <w:tcPr>
            <w:tcW w:type="dxa" w:w="6912"/>
            <w:tcMar>
              <w:top w:w="80" w:type="dxa"/>
              <w:start w:w="80" w:type="dxa"/>
              <w:bottom w:w="80" w:type="dxa"/>
              <w:end w:w="80" w:type="dxa"/>
            </w:tcMar>
            <w:vAlign w:val="top"/>
          </w:tcPr>
          <w:p>
            <w:pPr>
              <w:spacing w:after="40"/>
            </w:pPr>
            <w:r>
              <w:t>Support age transition events and review workflows.</w:t>
            </w:r>
          </w:p>
        </w:tc>
        <w:tc>
          <w:tcPr>
            <w:tcW w:type="dxa" w:w="1584"/>
            <w:tcMar>
              <w:top w:w="80" w:type="dxa"/>
              <w:start w:w="80" w:type="dxa"/>
              <w:bottom w:w="80" w:type="dxa"/>
              <w:end w:w="80" w:type="dxa"/>
            </w:tcMar>
            <w:vAlign w:val="top"/>
          </w:tcPr>
          <w:p>
            <w:pPr>
              <w:spacing w:after="40"/>
            </w:pPr>
            <w:r>
              <w:t>Phase 2</w:t>
            </w:r>
          </w:p>
        </w:tc>
        <w:tc>
          <w:tcPr>
            <w:tcW w:type="dxa" w:w="1296"/>
            <w:tcMar>
              <w:top w:w="80" w:type="dxa"/>
              <w:start w:w="80" w:type="dxa"/>
              <w:bottom w:w="80" w:type="dxa"/>
              <w:end w:w="80" w:type="dxa"/>
            </w:tcMar>
            <w:vAlign w:val="top"/>
          </w:tcPr>
          <w:p>
            <w:pPr>
              <w:spacing w:after="40"/>
            </w:pPr>
            <w:r>
              <w:t>Should</w:t>
            </w:r>
          </w:p>
        </w:tc>
      </w:tr>
    </w:tbl>
    <w:p/>
    <w:p>
      <w:pPr>
        <w:pStyle w:val="Heading1"/>
      </w:pPr>
      <w:r>
        <w:t>10. Authorization and Access Control</w:t>
      </w:r>
    </w:p>
    <w:p>
      <w:r>
        <w:t>HEIMDALL shall resolve access using app, persona, tenant, role, permission, and contextual scope. Roles are defined by application and tenant context, not hardcoded globally.</w:t>
      </w:r>
    </w:p>
    <w:p>
      <w:pPr>
        <w:pStyle w:val="CodeBlock"/>
      </w:pPr>
      <w:r>
        <w:t>Access Decision =</w:t>
        <w:br/>
        <w:t xml:space="preserve">  Parent Identity</w:t>
        <w:br/>
        <w:t xml:space="preserve">  + Active Persona</w:t>
        <w:br/>
        <w:t xml:space="preserve">  + Application</w:t>
        <w:br/>
        <w:t xml:space="preserve">  + Tenant / Organization</w:t>
        <w:br/>
        <w:t xml:space="preserve">  + Role</w:t>
        <w:br/>
        <w:t xml:space="preserve">  + Permission</w:t>
        <w:br/>
        <w:t xml:space="preserve">  + Context Object</w:t>
        <w:br/>
        <w:t xml:space="preserve">  + Policy Constraints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1F4E78"/>
            <w:tcMar>
              <w:top w:w="80" w:type="dxa"/>
              <w:start w:w="80" w:type="dxa"/>
              <w:bottom w:w="80" w:type="dxa"/>
              <w:end w:w="80" w:type="dxa"/>
            </w:tcMar>
            <w:vAlign w:val="center"/>
          </w:tcPr>
          <w:p>
            <w:pPr>
              <w:spacing w:after="40"/>
            </w:pPr>
            <w:r>
              <w:rPr>
                <w:b/>
                <w:color w:val="FFFFFF"/>
              </w:rPr>
              <w:t>Layer</w:t>
            </w:r>
          </w:p>
        </w:tc>
        <w:tc>
          <w:tcPr>
            <w:tcW w:type="dxa" w:w="8352"/>
            <w:shd w:fill="1F4E78"/>
            <w:tcMar>
              <w:top w:w="80" w:type="dxa"/>
              <w:start w:w="80" w:type="dxa"/>
              <w:bottom w:w="80" w:type="dxa"/>
              <w:end w:w="80" w:type="dxa"/>
            </w:tcMar>
            <w:vAlign w:val="center"/>
          </w:tcPr>
          <w:p>
            <w:pPr>
              <w:spacing w:after="40"/>
            </w:pPr>
            <w:r>
              <w:rPr>
                <w:b/>
                <w:color w:val="FFFFFF"/>
              </w:rPr>
              <w:t>Examples</w:t>
            </w:r>
          </w:p>
        </w:tc>
      </w:tr>
      <w:tr>
        <w:tc>
          <w:tcPr>
            <w:tcW w:type="dxa" w:w="2448"/>
            <w:tcMar>
              <w:top w:w="80" w:type="dxa"/>
              <w:start w:w="80" w:type="dxa"/>
              <w:bottom w:w="80" w:type="dxa"/>
              <w:end w:w="80" w:type="dxa"/>
            </w:tcMar>
            <w:vAlign w:val="top"/>
          </w:tcPr>
          <w:p>
            <w:pPr>
              <w:spacing w:after="40"/>
            </w:pPr>
            <w:r>
              <w:t>Application</w:t>
            </w:r>
          </w:p>
        </w:tc>
        <w:tc>
          <w:tcPr>
            <w:tcW w:type="dxa" w:w="8352"/>
            <w:tcMar>
              <w:top w:w="80" w:type="dxa"/>
              <w:start w:w="80" w:type="dxa"/>
              <w:bottom w:w="80" w:type="dxa"/>
              <w:end w:w="80" w:type="dxa"/>
            </w:tcMar>
            <w:vAlign w:val="top"/>
          </w:tcPr>
          <w:p>
            <w:pPr>
              <w:spacing w:after="40"/>
            </w:pPr>
            <w:r>
              <w:t>PEDL, Quest, Myriad Dashboard, client field app.</w:t>
            </w:r>
          </w:p>
        </w:tc>
      </w:tr>
      <w:tr>
        <w:tc>
          <w:tcPr>
            <w:tcW w:type="dxa" w:w="2448"/>
            <w:tcMar>
              <w:top w:w="80" w:type="dxa"/>
              <w:start w:w="80" w:type="dxa"/>
              <w:bottom w:w="80" w:type="dxa"/>
              <w:end w:w="80" w:type="dxa"/>
            </w:tcMar>
            <w:vAlign w:val="top"/>
          </w:tcPr>
          <w:p>
            <w:pPr>
              <w:spacing w:after="40"/>
            </w:pPr>
            <w:r>
              <w:t>Persona</w:t>
            </w:r>
          </w:p>
        </w:tc>
        <w:tc>
          <w:tcPr>
            <w:tcW w:type="dxa" w:w="8352"/>
            <w:tcMar>
              <w:top w:w="80" w:type="dxa"/>
              <w:start w:w="80" w:type="dxa"/>
              <w:bottom w:w="80" w:type="dxa"/>
              <w:end w:w="80" w:type="dxa"/>
            </w:tcMar>
            <w:vAlign w:val="top"/>
          </w:tcPr>
          <w:p>
            <w:pPr>
              <w:spacing w:after="40"/>
            </w:pPr>
            <w:r>
              <w:t>Rider, driver, guide, attendee, organizer, dispatcher, support, admin.</w:t>
            </w:r>
          </w:p>
        </w:tc>
      </w:tr>
      <w:tr>
        <w:tc>
          <w:tcPr>
            <w:tcW w:type="dxa" w:w="2448"/>
            <w:tcMar>
              <w:top w:w="80" w:type="dxa"/>
              <w:start w:w="80" w:type="dxa"/>
              <w:bottom w:w="80" w:type="dxa"/>
              <w:end w:w="80" w:type="dxa"/>
            </w:tcMar>
            <w:vAlign w:val="top"/>
          </w:tcPr>
          <w:p>
            <w:pPr>
              <w:spacing w:after="40"/>
            </w:pPr>
            <w:r>
              <w:t>Tenant/Organization</w:t>
            </w:r>
          </w:p>
        </w:tc>
        <w:tc>
          <w:tcPr>
            <w:tcW w:type="dxa" w:w="8352"/>
            <w:tcMar>
              <w:top w:w="80" w:type="dxa"/>
              <w:start w:w="80" w:type="dxa"/>
              <w:bottom w:w="80" w:type="dxa"/>
              <w:end w:w="80" w:type="dxa"/>
            </w:tcMar>
            <w:vAlign w:val="top"/>
          </w:tcPr>
          <w:p>
            <w:pPr>
              <w:spacing w:after="40"/>
            </w:pPr>
            <w:r>
              <w:t>Client, operator, event organizer, fleet, venue, educational program.</w:t>
            </w:r>
          </w:p>
        </w:tc>
      </w:tr>
      <w:tr>
        <w:tc>
          <w:tcPr>
            <w:tcW w:type="dxa" w:w="2448"/>
            <w:tcMar>
              <w:top w:w="80" w:type="dxa"/>
              <w:start w:w="80" w:type="dxa"/>
              <w:bottom w:w="80" w:type="dxa"/>
              <w:end w:w="80" w:type="dxa"/>
            </w:tcMar>
            <w:vAlign w:val="top"/>
          </w:tcPr>
          <w:p>
            <w:pPr>
              <w:spacing w:after="40"/>
            </w:pPr>
            <w:r>
              <w:t>Permission</w:t>
            </w:r>
          </w:p>
        </w:tc>
        <w:tc>
          <w:tcPr>
            <w:tcW w:type="dxa" w:w="8352"/>
            <w:tcMar>
              <w:top w:w="80" w:type="dxa"/>
              <w:start w:w="80" w:type="dxa"/>
              <w:bottom w:w="80" w:type="dxa"/>
              <w:end w:w="80" w:type="dxa"/>
            </w:tcMar>
            <w:vAlign w:val="top"/>
          </w:tcPr>
          <w:p>
            <w:pPr>
              <w:spacing w:after="40"/>
            </w:pPr>
            <w:r>
              <w:t>ride.accept, event.manage, ticket.scan, user.verify, secret.read, secret.rotate.</w:t>
            </w:r>
          </w:p>
        </w:tc>
      </w:tr>
      <w:tr>
        <w:tc>
          <w:tcPr>
            <w:tcW w:type="dxa" w:w="2448"/>
            <w:tcMar>
              <w:top w:w="80" w:type="dxa"/>
              <w:start w:w="80" w:type="dxa"/>
              <w:bottom w:w="80" w:type="dxa"/>
              <w:end w:w="80" w:type="dxa"/>
            </w:tcMar>
            <w:vAlign w:val="top"/>
          </w:tcPr>
          <w:p>
            <w:pPr>
              <w:spacing w:after="40"/>
            </w:pPr>
            <w:r>
              <w:t>Context</w:t>
            </w:r>
          </w:p>
        </w:tc>
        <w:tc>
          <w:tcPr>
            <w:tcW w:type="dxa" w:w="8352"/>
            <w:tcMar>
              <w:top w:w="80" w:type="dxa"/>
              <w:start w:w="80" w:type="dxa"/>
              <w:bottom w:w="80" w:type="dxa"/>
              <w:end w:w="80" w:type="dxa"/>
            </w:tcMar>
            <w:vAlign w:val="top"/>
          </w:tcPr>
          <w:p>
            <w:pPr>
              <w:spacing w:after="40"/>
            </w:pPr>
            <w:r>
              <w:t>Event, ride, tour, venue, location, fleet, ticket type, dashboard module.</w:t>
            </w:r>
          </w:p>
        </w:tc>
      </w:tr>
    </w:tbl>
    <w:p/>
    <w:p>
      <w:pPr>
        <w:pStyle w:val="Heading1"/>
      </w:pPr>
      <w:r>
        <w:t>11. Secrets and Credentials Management</w:t>
      </w:r>
    </w:p>
    <w:p>
      <w:r>
        <w:t>HEIMDALL includes a formal Secrets and Credentials Management domain. Vault stores and protects secret values. HEIMDALL stores metadata, references, access policies, approvals, and audit events. Applications receive only the secrets or derived credentials they are explicitly authorized to use.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04"/>
            <w:shd w:fill="1F4E78"/>
            <w:tcMar>
              <w:top w:w="80" w:type="dxa"/>
              <w:start w:w="80" w:type="dxa"/>
              <w:bottom w:w="80" w:type="dxa"/>
              <w:end w:w="80" w:type="dxa"/>
            </w:tcMar>
            <w:vAlign w:val="center"/>
          </w:tcPr>
          <w:p>
            <w:pPr>
              <w:spacing w:after="40"/>
            </w:pPr>
            <w:r>
              <w:rPr>
                <w:b/>
                <w:color w:val="FFFFFF"/>
              </w:rPr>
              <w:t>Secret Type</w:t>
            </w:r>
          </w:p>
        </w:tc>
        <w:tc>
          <w:tcPr>
            <w:tcW w:type="dxa" w:w="4320"/>
            <w:shd w:fill="1F4E78"/>
            <w:tcMar>
              <w:top w:w="80" w:type="dxa"/>
              <w:start w:w="80" w:type="dxa"/>
              <w:bottom w:w="80" w:type="dxa"/>
              <w:end w:w="80" w:type="dxa"/>
            </w:tcMar>
            <w:vAlign w:val="center"/>
          </w:tcPr>
          <w:p>
            <w:pPr>
              <w:spacing w:after="40"/>
            </w:pPr>
            <w:r>
              <w:rPr>
                <w:b/>
                <w:color w:val="FFFFFF"/>
              </w:rPr>
              <w:t>Examples</w:t>
            </w:r>
          </w:p>
        </w:tc>
        <w:tc>
          <w:tcPr>
            <w:tcW w:type="dxa" w:w="4320"/>
            <w:shd w:fill="1F4E78"/>
            <w:tcMar>
              <w:top w:w="80" w:type="dxa"/>
              <w:start w:w="80" w:type="dxa"/>
              <w:bottom w:w="80" w:type="dxa"/>
              <w:end w:w="80" w:type="dxa"/>
            </w:tcMar>
            <w:vAlign w:val="center"/>
          </w:tcPr>
          <w:p>
            <w:pPr>
              <w:spacing w:after="40"/>
            </w:pPr>
            <w:r>
              <w:rPr>
                <w:b/>
                <w:color w:val="FFFFFF"/>
              </w:rPr>
              <w:t>Storage / Handling</w:t>
            </w:r>
          </w:p>
        </w:tc>
      </w:tr>
      <w:tr>
        <w:tc>
          <w:tcPr>
            <w:tcW w:type="dxa" w:w="2304"/>
            <w:tcMar>
              <w:top w:w="80" w:type="dxa"/>
              <w:start w:w="80" w:type="dxa"/>
              <w:bottom w:w="80" w:type="dxa"/>
              <w:end w:w="80" w:type="dxa"/>
            </w:tcMar>
            <w:vAlign w:val="top"/>
          </w:tcPr>
          <w:p>
            <w:pPr>
              <w:spacing w:after="40"/>
            </w:pPr>
            <w:r>
              <w:t>Application API keys</w:t>
            </w:r>
          </w:p>
        </w:tc>
        <w:tc>
          <w:tcPr>
            <w:tcW w:type="dxa" w:w="4320"/>
            <w:tcMar>
              <w:top w:w="80" w:type="dxa"/>
              <w:start w:w="80" w:type="dxa"/>
              <w:bottom w:w="80" w:type="dxa"/>
              <w:end w:w="80" w:type="dxa"/>
            </w:tcMar>
            <w:vAlign w:val="top"/>
          </w:tcPr>
          <w:p>
            <w:pPr>
              <w:spacing w:after="40"/>
            </w:pPr>
            <w:r>
              <w:t>Mapbox, Stripe, Twilio, SendGrid, Eventbrite, analytics services.</w:t>
            </w:r>
          </w:p>
        </w:tc>
        <w:tc>
          <w:tcPr>
            <w:tcW w:type="dxa" w:w="4320"/>
            <w:tcMar>
              <w:top w:w="80" w:type="dxa"/>
              <w:start w:w="80" w:type="dxa"/>
              <w:bottom w:w="80" w:type="dxa"/>
              <w:end w:w="80" w:type="dxa"/>
            </w:tcMar>
            <w:vAlign w:val="top"/>
          </w:tcPr>
          <w:p>
            <w:pPr>
              <w:spacing w:after="40"/>
            </w:pPr>
            <w:r>
              <w:t>Stored in Vault KV or equivalent; metadata in HEIMDALL.</w:t>
            </w:r>
          </w:p>
        </w:tc>
      </w:tr>
      <w:tr>
        <w:tc>
          <w:tcPr>
            <w:tcW w:type="dxa" w:w="2304"/>
            <w:tcMar>
              <w:top w:w="80" w:type="dxa"/>
              <w:start w:w="80" w:type="dxa"/>
              <w:bottom w:w="80" w:type="dxa"/>
              <w:end w:w="80" w:type="dxa"/>
            </w:tcMar>
            <w:vAlign w:val="top"/>
          </w:tcPr>
          <w:p>
            <w:pPr>
              <w:spacing w:after="40"/>
            </w:pPr>
            <w:r>
              <w:t>Database secrets</w:t>
            </w:r>
          </w:p>
        </w:tc>
        <w:tc>
          <w:tcPr>
            <w:tcW w:type="dxa" w:w="4320"/>
            <w:tcMar>
              <w:top w:w="80" w:type="dxa"/>
              <w:start w:w="80" w:type="dxa"/>
              <w:bottom w:w="80" w:type="dxa"/>
              <w:end w:w="80" w:type="dxa"/>
            </w:tcMar>
            <w:vAlign w:val="top"/>
          </w:tcPr>
          <w:p>
            <w:pPr>
              <w:spacing w:after="40"/>
            </w:pPr>
            <w:r>
              <w:t>Supabase service role key, database URLs, migration credentials.</w:t>
            </w:r>
          </w:p>
        </w:tc>
        <w:tc>
          <w:tcPr>
            <w:tcW w:type="dxa" w:w="4320"/>
            <w:tcMar>
              <w:top w:w="80" w:type="dxa"/>
              <w:start w:w="80" w:type="dxa"/>
              <w:bottom w:w="80" w:type="dxa"/>
              <w:end w:w="80" w:type="dxa"/>
            </w:tcMar>
            <w:vAlign w:val="top"/>
          </w:tcPr>
          <w:p>
            <w:pPr>
              <w:spacing w:after="40"/>
            </w:pPr>
            <w:r>
              <w:t>Stored in Vault; future dynamic database credentials where possible.</w:t>
            </w:r>
          </w:p>
        </w:tc>
      </w:tr>
      <w:tr>
        <w:tc>
          <w:tcPr>
            <w:tcW w:type="dxa" w:w="2304"/>
            <w:tcMar>
              <w:top w:w="80" w:type="dxa"/>
              <w:start w:w="80" w:type="dxa"/>
              <w:bottom w:w="80" w:type="dxa"/>
              <w:end w:w="80" w:type="dxa"/>
            </w:tcMar>
            <w:vAlign w:val="top"/>
          </w:tcPr>
          <w:p>
            <w:pPr>
              <w:spacing w:after="40"/>
            </w:pPr>
            <w:r>
              <w:t>OAuth client secrets</w:t>
            </w:r>
          </w:p>
        </w:tc>
        <w:tc>
          <w:tcPr>
            <w:tcW w:type="dxa" w:w="4320"/>
            <w:tcMar>
              <w:top w:w="80" w:type="dxa"/>
              <w:start w:w="80" w:type="dxa"/>
              <w:bottom w:w="80" w:type="dxa"/>
              <w:end w:w="80" w:type="dxa"/>
            </w:tcMar>
            <w:vAlign w:val="top"/>
          </w:tcPr>
          <w:p>
            <w:pPr>
              <w:spacing w:after="40"/>
            </w:pPr>
            <w:r>
              <w:t>Keycloak clients, provider apps, social login provider secrets.</w:t>
            </w:r>
          </w:p>
        </w:tc>
        <w:tc>
          <w:tcPr>
            <w:tcW w:type="dxa" w:w="4320"/>
            <w:tcMar>
              <w:top w:w="80" w:type="dxa"/>
              <w:start w:w="80" w:type="dxa"/>
              <w:bottom w:w="80" w:type="dxa"/>
              <w:end w:w="80" w:type="dxa"/>
            </w:tcMar>
            <w:vAlign w:val="top"/>
          </w:tcPr>
          <w:p>
            <w:pPr>
              <w:spacing w:after="40"/>
            </w:pPr>
            <w:r>
              <w:t>Stored in Vault; rotated by policy.</w:t>
            </w:r>
          </w:p>
        </w:tc>
      </w:tr>
      <w:tr>
        <w:tc>
          <w:tcPr>
            <w:tcW w:type="dxa" w:w="2304"/>
            <w:tcMar>
              <w:top w:w="80" w:type="dxa"/>
              <w:start w:w="80" w:type="dxa"/>
              <w:bottom w:w="80" w:type="dxa"/>
              <w:end w:w="80" w:type="dxa"/>
            </w:tcMar>
            <w:vAlign w:val="top"/>
          </w:tcPr>
          <w:p>
            <w:pPr>
              <w:spacing w:after="40"/>
            </w:pPr>
            <w:r>
              <w:t>Webhook signing secrets</w:t>
            </w:r>
          </w:p>
        </w:tc>
        <w:tc>
          <w:tcPr>
            <w:tcW w:type="dxa" w:w="4320"/>
            <w:tcMar>
              <w:top w:w="80" w:type="dxa"/>
              <w:start w:w="80" w:type="dxa"/>
              <w:bottom w:w="80" w:type="dxa"/>
              <w:end w:w="80" w:type="dxa"/>
            </w:tcMar>
            <w:vAlign w:val="top"/>
          </w:tcPr>
          <w:p>
            <w:pPr>
              <w:spacing w:after="40"/>
            </w:pPr>
            <w:r>
              <w:t>IdP webhooks, payment provider webhooks, app event webhooks.</w:t>
            </w:r>
          </w:p>
        </w:tc>
        <w:tc>
          <w:tcPr>
            <w:tcW w:type="dxa" w:w="4320"/>
            <w:tcMar>
              <w:top w:w="80" w:type="dxa"/>
              <w:start w:w="80" w:type="dxa"/>
              <w:bottom w:w="80" w:type="dxa"/>
              <w:end w:w="80" w:type="dxa"/>
            </w:tcMar>
            <w:vAlign w:val="top"/>
          </w:tcPr>
          <w:p>
            <w:pPr>
              <w:spacing w:after="40"/>
            </w:pPr>
            <w:r>
              <w:t>Stored in Vault; HMAC/signature validation governed by HEIMDALL.</w:t>
            </w:r>
          </w:p>
        </w:tc>
      </w:tr>
      <w:tr>
        <w:tc>
          <w:tcPr>
            <w:tcW w:type="dxa" w:w="2304"/>
            <w:tcMar>
              <w:top w:w="80" w:type="dxa"/>
              <w:start w:w="80" w:type="dxa"/>
              <w:bottom w:w="80" w:type="dxa"/>
              <w:end w:w="80" w:type="dxa"/>
            </w:tcMar>
            <w:vAlign w:val="top"/>
          </w:tcPr>
          <w:p>
            <w:pPr>
              <w:spacing w:after="40"/>
            </w:pPr>
            <w:r>
              <w:t>Mobile/app config secrets</w:t>
            </w:r>
          </w:p>
        </w:tc>
        <w:tc>
          <w:tcPr>
            <w:tcW w:type="dxa" w:w="4320"/>
            <w:tcMar>
              <w:top w:w="80" w:type="dxa"/>
              <w:start w:w="80" w:type="dxa"/>
              <w:bottom w:w="80" w:type="dxa"/>
              <w:end w:w="80" w:type="dxa"/>
            </w:tcMar>
            <w:vAlign w:val="top"/>
          </w:tcPr>
          <w:p>
            <w:pPr>
              <w:spacing w:after="40"/>
            </w:pPr>
            <w:r>
              <w:t>Non-public app credentials and tenant-specific runtime config.</w:t>
            </w:r>
          </w:p>
        </w:tc>
        <w:tc>
          <w:tcPr>
            <w:tcW w:type="dxa" w:w="4320"/>
            <w:tcMar>
              <w:top w:w="80" w:type="dxa"/>
              <w:start w:w="80" w:type="dxa"/>
              <w:bottom w:w="80" w:type="dxa"/>
              <w:end w:w="80" w:type="dxa"/>
            </w:tcMar>
            <w:vAlign w:val="top"/>
          </w:tcPr>
          <w:p>
            <w:pPr>
              <w:spacing w:after="40"/>
            </w:pPr>
            <w:r>
              <w:t>Never embedded directly in public clients; delivered through controlled backend/service mechanisms.</w:t>
            </w:r>
          </w:p>
        </w:tc>
      </w:tr>
      <w:tr>
        <w:tc>
          <w:tcPr>
            <w:tcW w:type="dxa" w:w="2304"/>
            <w:tcMar>
              <w:top w:w="80" w:type="dxa"/>
              <w:start w:w="80" w:type="dxa"/>
              <w:bottom w:w="80" w:type="dxa"/>
              <w:end w:w="80" w:type="dxa"/>
            </w:tcMar>
            <w:vAlign w:val="top"/>
          </w:tcPr>
          <w:p>
            <w:pPr>
              <w:spacing w:after="40"/>
            </w:pPr>
            <w:r>
              <w:t>Service-to-service credentials</w:t>
            </w:r>
          </w:p>
        </w:tc>
        <w:tc>
          <w:tcPr>
            <w:tcW w:type="dxa" w:w="4320"/>
            <w:tcMar>
              <w:top w:w="80" w:type="dxa"/>
              <w:start w:w="80" w:type="dxa"/>
              <w:bottom w:w="80" w:type="dxa"/>
              <w:end w:w="80" w:type="dxa"/>
            </w:tcMar>
            <w:vAlign w:val="top"/>
          </w:tcPr>
          <w:p>
            <w:pPr>
              <w:spacing w:after="40"/>
            </w:pPr>
            <w:r>
              <w:t>Internal API credentials, worker credentials, integration credentials.</w:t>
            </w:r>
          </w:p>
        </w:tc>
        <w:tc>
          <w:tcPr>
            <w:tcW w:type="dxa" w:w="4320"/>
            <w:tcMar>
              <w:top w:w="80" w:type="dxa"/>
              <w:start w:w="80" w:type="dxa"/>
              <w:bottom w:w="80" w:type="dxa"/>
              <w:end w:w="80" w:type="dxa"/>
            </w:tcMar>
            <w:vAlign w:val="top"/>
          </w:tcPr>
          <w:p>
            <w:pPr>
              <w:spacing w:after="40"/>
            </w:pPr>
            <w:r>
              <w:t>Service account scoped and audited.</w:t>
            </w:r>
          </w:p>
        </w:tc>
      </w:tr>
    </w:tbl>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152"/>
            <w:shd w:fill="1F4E78"/>
            <w:tcMar>
              <w:top w:w="80" w:type="dxa"/>
              <w:start w:w="80" w:type="dxa"/>
              <w:bottom w:w="80" w:type="dxa"/>
              <w:end w:w="80" w:type="dxa"/>
            </w:tcMar>
            <w:vAlign w:val="center"/>
          </w:tcPr>
          <w:p>
            <w:pPr>
              <w:spacing w:after="40"/>
            </w:pPr>
            <w:r>
              <w:rPr>
                <w:b/>
                <w:color w:val="FFFFFF"/>
              </w:rPr>
              <w:t>ID</w:t>
            </w:r>
          </w:p>
        </w:tc>
        <w:tc>
          <w:tcPr>
            <w:tcW w:type="dxa" w:w="6912"/>
            <w:shd w:fill="1F4E78"/>
            <w:tcMar>
              <w:top w:w="80" w:type="dxa"/>
              <w:start w:w="80" w:type="dxa"/>
              <w:bottom w:w="80" w:type="dxa"/>
              <w:end w:w="80" w:type="dxa"/>
            </w:tcMar>
            <w:vAlign w:val="center"/>
          </w:tcPr>
          <w:p>
            <w:pPr>
              <w:spacing w:after="40"/>
            </w:pPr>
            <w:r>
              <w:rPr>
                <w:b/>
                <w:color w:val="FFFFFF"/>
              </w:rPr>
              <w:t>Requirement</w:t>
            </w:r>
          </w:p>
        </w:tc>
        <w:tc>
          <w:tcPr>
            <w:tcW w:type="dxa" w:w="1584"/>
            <w:shd w:fill="1F4E78"/>
            <w:tcMar>
              <w:top w:w="80" w:type="dxa"/>
              <w:start w:w="80" w:type="dxa"/>
              <w:bottom w:w="80" w:type="dxa"/>
              <w:end w:w="80" w:type="dxa"/>
            </w:tcMar>
            <w:vAlign w:val="center"/>
          </w:tcPr>
          <w:p>
            <w:pPr>
              <w:spacing w:after="40"/>
            </w:pPr>
            <w:r>
              <w:rPr>
                <w:b/>
                <w:color w:val="FFFFFF"/>
              </w:rPr>
              <w:t>Phase</w:t>
            </w:r>
          </w:p>
        </w:tc>
        <w:tc>
          <w:tcPr>
            <w:tcW w:type="dxa" w:w="1296"/>
            <w:shd w:fill="1F4E78"/>
            <w:tcMar>
              <w:top w:w="80" w:type="dxa"/>
              <w:start w:w="80" w:type="dxa"/>
              <w:bottom w:w="80" w:type="dxa"/>
              <w:end w:w="80" w:type="dxa"/>
            </w:tcMar>
            <w:vAlign w:val="center"/>
          </w:tcPr>
          <w:p>
            <w:pPr>
              <w:spacing w:after="40"/>
            </w:pPr>
            <w:r>
              <w:rPr>
                <w:b/>
                <w:color w:val="FFFFFF"/>
              </w:rPr>
              <w:t>Priority</w:t>
            </w:r>
          </w:p>
        </w:tc>
      </w:tr>
      <w:tr>
        <w:tc>
          <w:tcPr>
            <w:tcW w:type="dxa" w:w="1152"/>
            <w:tcMar>
              <w:top w:w="80" w:type="dxa"/>
              <w:start w:w="80" w:type="dxa"/>
              <w:bottom w:w="80" w:type="dxa"/>
              <w:end w:w="80" w:type="dxa"/>
            </w:tcMar>
            <w:vAlign w:val="top"/>
          </w:tcPr>
          <w:p>
            <w:pPr>
              <w:spacing w:after="40"/>
            </w:pPr>
            <w:r>
              <w:t>SEC-001</w:t>
            </w:r>
          </w:p>
        </w:tc>
        <w:tc>
          <w:tcPr>
            <w:tcW w:type="dxa" w:w="6912"/>
            <w:tcMar>
              <w:top w:w="80" w:type="dxa"/>
              <w:start w:w="80" w:type="dxa"/>
              <w:bottom w:w="80" w:type="dxa"/>
              <w:end w:w="80" w:type="dxa"/>
            </w:tcMar>
            <w:vAlign w:val="top"/>
          </w:tcPr>
          <w:p>
            <w:pPr>
              <w:spacing w:after="40"/>
            </w:pPr>
            <w:r>
              <w:t>Vault-compatible layer shall store all secret values.</w:t>
            </w:r>
          </w:p>
        </w:tc>
        <w:tc>
          <w:tcPr>
            <w:tcW w:type="dxa" w:w="1584"/>
            <w:tcMar>
              <w:top w:w="80" w:type="dxa"/>
              <w:start w:w="80" w:type="dxa"/>
              <w:bottom w:w="80" w:type="dxa"/>
              <w:end w:w="80" w:type="dxa"/>
            </w:tcMar>
            <w:vAlign w:val="top"/>
          </w:tcPr>
          <w:p>
            <w:pPr>
              <w:spacing w:after="40"/>
            </w:pPr>
            <w:r>
              <w:t>MVP</w:t>
            </w:r>
          </w:p>
        </w:tc>
        <w:tc>
          <w:tcPr>
            <w:tcW w:type="dxa" w:w="1296"/>
            <w:tcMar>
              <w:top w:w="80" w:type="dxa"/>
              <w:start w:w="80" w:type="dxa"/>
              <w:bottom w:w="80" w:type="dxa"/>
              <w:end w:w="80" w:type="dxa"/>
            </w:tcMar>
            <w:vAlign w:val="top"/>
          </w:tcPr>
          <w:p>
            <w:pPr>
              <w:spacing w:after="40"/>
            </w:pPr>
            <w:r>
              <w:t>Must</w:t>
            </w:r>
          </w:p>
        </w:tc>
      </w:tr>
      <w:tr>
        <w:tc>
          <w:tcPr>
            <w:tcW w:type="dxa" w:w="1152"/>
            <w:tcMar>
              <w:top w:w="80" w:type="dxa"/>
              <w:start w:w="80" w:type="dxa"/>
              <w:bottom w:w="80" w:type="dxa"/>
              <w:end w:w="80" w:type="dxa"/>
            </w:tcMar>
            <w:vAlign w:val="top"/>
          </w:tcPr>
          <w:p>
            <w:pPr>
              <w:spacing w:after="40"/>
            </w:pPr>
            <w:r>
              <w:t>SEC-002</w:t>
            </w:r>
          </w:p>
        </w:tc>
        <w:tc>
          <w:tcPr>
            <w:tcW w:type="dxa" w:w="6912"/>
            <w:tcMar>
              <w:top w:w="80" w:type="dxa"/>
              <w:start w:w="80" w:type="dxa"/>
              <w:bottom w:w="80" w:type="dxa"/>
              <w:end w:w="80" w:type="dxa"/>
            </w:tcMar>
            <w:vAlign w:val="top"/>
          </w:tcPr>
          <w:p>
            <w:pPr>
              <w:spacing w:after="40"/>
            </w:pPr>
            <w:r>
              <w:t>HEIMDALL DB shall store secret metadata, references, fingerprints, status, and policy only.</w:t>
            </w:r>
          </w:p>
        </w:tc>
        <w:tc>
          <w:tcPr>
            <w:tcW w:type="dxa" w:w="1584"/>
            <w:tcMar>
              <w:top w:w="80" w:type="dxa"/>
              <w:start w:w="80" w:type="dxa"/>
              <w:bottom w:w="80" w:type="dxa"/>
              <w:end w:w="80" w:type="dxa"/>
            </w:tcMar>
            <w:vAlign w:val="top"/>
          </w:tcPr>
          <w:p>
            <w:pPr>
              <w:spacing w:after="40"/>
            </w:pPr>
            <w:r>
              <w:t>MVP</w:t>
            </w:r>
          </w:p>
        </w:tc>
        <w:tc>
          <w:tcPr>
            <w:tcW w:type="dxa" w:w="1296"/>
            <w:tcMar>
              <w:top w:w="80" w:type="dxa"/>
              <w:start w:w="80" w:type="dxa"/>
              <w:bottom w:w="80" w:type="dxa"/>
              <w:end w:w="80" w:type="dxa"/>
            </w:tcMar>
            <w:vAlign w:val="top"/>
          </w:tcPr>
          <w:p>
            <w:pPr>
              <w:spacing w:after="40"/>
            </w:pPr>
            <w:r>
              <w:t>Must</w:t>
            </w:r>
          </w:p>
        </w:tc>
      </w:tr>
      <w:tr>
        <w:tc>
          <w:tcPr>
            <w:tcW w:type="dxa" w:w="1152"/>
            <w:tcMar>
              <w:top w:w="80" w:type="dxa"/>
              <w:start w:w="80" w:type="dxa"/>
              <w:bottom w:w="80" w:type="dxa"/>
              <w:end w:w="80" w:type="dxa"/>
            </w:tcMar>
            <w:vAlign w:val="top"/>
          </w:tcPr>
          <w:p>
            <w:pPr>
              <w:spacing w:after="40"/>
            </w:pPr>
            <w:r>
              <w:t>SEC-003</w:t>
            </w:r>
          </w:p>
        </w:tc>
        <w:tc>
          <w:tcPr>
            <w:tcW w:type="dxa" w:w="6912"/>
            <w:tcMar>
              <w:top w:w="80" w:type="dxa"/>
              <w:start w:w="80" w:type="dxa"/>
              <w:bottom w:w="80" w:type="dxa"/>
              <w:end w:w="80" w:type="dxa"/>
            </w:tcMar>
            <w:vAlign w:val="top"/>
          </w:tcPr>
          <w:p>
            <w:pPr>
              <w:spacing w:after="40"/>
            </w:pPr>
            <w:r>
              <w:t>Support environment-specific secrets: dev, staging, prod.</w:t>
            </w:r>
          </w:p>
        </w:tc>
        <w:tc>
          <w:tcPr>
            <w:tcW w:type="dxa" w:w="1584"/>
            <w:tcMar>
              <w:top w:w="80" w:type="dxa"/>
              <w:start w:w="80" w:type="dxa"/>
              <w:bottom w:w="80" w:type="dxa"/>
              <w:end w:w="80" w:type="dxa"/>
            </w:tcMar>
            <w:vAlign w:val="top"/>
          </w:tcPr>
          <w:p>
            <w:pPr>
              <w:spacing w:after="40"/>
            </w:pPr>
            <w:r>
              <w:t>MVP</w:t>
            </w:r>
          </w:p>
        </w:tc>
        <w:tc>
          <w:tcPr>
            <w:tcW w:type="dxa" w:w="1296"/>
            <w:tcMar>
              <w:top w:w="80" w:type="dxa"/>
              <w:start w:w="80" w:type="dxa"/>
              <w:bottom w:w="80" w:type="dxa"/>
              <w:end w:w="80" w:type="dxa"/>
            </w:tcMar>
            <w:vAlign w:val="top"/>
          </w:tcPr>
          <w:p>
            <w:pPr>
              <w:spacing w:after="40"/>
            </w:pPr>
            <w:r>
              <w:t>Must</w:t>
            </w:r>
          </w:p>
        </w:tc>
      </w:tr>
      <w:tr>
        <w:tc>
          <w:tcPr>
            <w:tcW w:type="dxa" w:w="1152"/>
            <w:tcMar>
              <w:top w:w="80" w:type="dxa"/>
              <w:start w:w="80" w:type="dxa"/>
              <w:bottom w:w="80" w:type="dxa"/>
              <w:end w:w="80" w:type="dxa"/>
            </w:tcMar>
            <w:vAlign w:val="top"/>
          </w:tcPr>
          <w:p>
            <w:pPr>
              <w:spacing w:after="40"/>
            </w:pPr>
            <w:r>
              <w:t>SEC-004</w:t>
            </w:r>
          </w:p>
        </w:tc>
        <w:tc>
          <w:tcPr>
            <w:tcW w:type="dxa" w:w="6912"/>
            <w:tcMar>
              <w:top w:w="80" w:type="dxa"/>
              <w:start w:w="80" w:type="dxa"/>
              <w:bottom w:w="80" w:type="dxa"/>
              <w:end w:w="80" w:type="dxa"/>
            </w:tcMar>
            <w:vAlign w:val="top"/>
          </w:tcPr>
          <w:p>
            <w:pPr>
              <w:spacing w:after="40"/>
            </w:pPr>
            <w:r>
              <w:t>Support app-, service-, tenant-, provider-, and database-scoped secrets.</w:t>
            </w:r>
          </w:p>
        </w:tc>
        <w:tc>
          <w:tcPr>
            <w:tcW w:type="dxa" w:w="1584"/>
            <w:tcMar>
              <w:top w:w="80" w:type="dxa"/>
              <w:start w:w="80" w:type="dxa"/>
              <w:bottom w:w="80" w:type="dxa"/>
              <w:end w:w="80" w:type="dxa"/>
            </w:tcMar>
            <w:vAlign w:val="top"/>
          </w:tcPr>
          <w:p>
            <w:pPr>
              <w:spacing w:after="40"/>
            </w:pPr>
            <w:r>
              <w:t>MVP</w:t>
            </w:r>
          </w:p>
        </w:tc>
        <w:tc>
          <w:tcPr>
            <w:tcW w:type="dxa" w:w="1296"/>
            <w:tcMar>
              <w:top w:w="80" w:type="dxa"/>
              <w:start w:w="80" w:type="dxa"/>
              <w:bottom w:w="80" w:type="dxa"/>
              <w:end w:w="80" w:type="dxa"/>
            </w:tcMar>
            <w:vAlign w:val="top"/>
          </w:tcPr>
          <w:p>
            <w:pPr>
              <w:spacing w:after="40"/>
            </w:pPr>
            <w:r>
              <w:t>Must</w:t>
            </w:r>
          </w:p>
        </w:tc>
      </w:tr>
      <w:tr>
        <w:tc>
          <w:tcPr>
            <w:tcW w:type="dxa" w:w="1152"/>
            <w:tcMar>
              <w:top w:w="80" w:type="dxa"/>
              <w:start w:w="80" w:type="dxa"/>
              <w:bottom w:w="80" w:type="dxa"/>
              <w:end w:w="80" w:type="dxa"/>
            </w:tcMar>
            <w:vAlign w:val="top"/>
          </w:tcPr>
          <w:p>
            <w:pPr>
              <w:spacing w:after="40"/>
            </w:pPr>
            <w:r>
              <w:t>SEC-005</w:t>
            </w:r>
          </w:p>
        </w:tc>
        <w:tc>
          <w:tcPr>
            <w:tcW w:type="dxa" w:w="6912"/>
            <w:tcMar>
              <w:top w:w="80" w:type="dxa"/>
              <w:start w:w="80" w:type="dxa"/>
              <w:bottom w:w="80" w:type="dxa"/>
              <w:end w:w="80" w:type="dxa"/>
            </w:tcMar>
            <w:vAlign w:val="top"/>
          </w:tcPr>
          <w:p>
            <w:pPr>
              <w:spacing w:after="40"/>
            </w:pPr>
            <w:r>
              <w:t>Audit every secret read, write, rotation, revocation, failed access, and break-glass access.</w:t>
            </w:r>
          </w:p>
        </w:tc>
        <w:tc>
          <w:tcPr>
            <w:tcW w:type="dxa" w:w="1584"/>
            <w:tcMar>
              <w:top w:w="80" w:type="dxa"/>
              <w:start w:w="80" w:type="dxa"/>
              <w:bottom w:w="80" w:type="dxa"/>
              <w:end w:w="80" w:type="dxa"/>
            </w:tcMar>
            <w:vAlign w:val="top"/>
          </w:tcPr>
          <w:p>
            <w:pPr>
              <w:spacing w:after="40"/>
            </w:pPr>
            <w:r>
              <w:t>MVP</w:t>
            </w:r>
          </w:p>
        </w:tc>
        <w:tc>
          <w:tcPr>
            <w:tcW w:type="dxa" w:w="1296"/>
            <w:tcMar>
              <w:top w:w="80" w:type="dxa"/>
              <w:start w:w="80" w:type="dxa"/>
              <w:bottom w:w="80" w:type="dxa"/>
              <w:end w:w="80" w:type="dxa"/>
            </w:tcMar>
            <w:vAlign w:val="top"/>
          </w:tcPr>
          <w:p>
            <w:pPr>
              <w:spacing w:after="40"/>
            </w:pPr>
            <w:r>
              <w:t>Must</w:t>
            </w:r>
          </w:p>
        </w:tc>
      </w:tr>
      <w:tr>
        <w:tc>
          <w:tcPr>
            <w:tcW w:type="dxa" w:w="1152"/>
            <w:tcMar>
              <w:top w:w="80" w:type="dxa"/>
              <w:start w:w="80" w:type="dxa"/>
              <w:bottom w:w="80" w:type="dxa"/>
              <w:end w:w="80" w:type="dxa"/>
            </w:tcMar>
            <w:vAlign w:val="top"/>
          </w:tcPr>
          <w:p>
            <w:pPr>
              <w:spacing w:after="40"/>
            </w:pPr>
            <w:r>
              <w:t>SEC-006</w:t>
            </w:r>
          </w:p>
        </w:tc>
        <w:tc>
          <w:tcPr>
            <w:tcW w:type="dxa" w:w="6912"/>
            <w:tcMar>
              <w:top w:w="80" w:type="dxa"/>
              <w:start w:w="80" w:type="dxa"/>
              <w:bottom w:w="80" w:type="dxa"/>
              <w:end w:w="80" w:type="dxa"/>
            </w:tcMar>
            <w:vAlign w:val="top"/>
          </w:tcPr>
          <w:p>
            <w:pPr>
              <w:spacing w:after="40"/>
            </w:pPr>
            <w:r>
              <w:t>Support manual rotation and emergency revocation.</w:t>
            </w:r>
          </w:p>
        </w:tc>
        <w:tc>
          <w:tcPr>
            <w:tcW w:type="dxa" w:w="1584"/>
            <w:tcMar>
              <w:top w:w="80" w:type="dxa"/>
              <w:start w:w="80" w:type="dxa"/>
              <w:bottom w:w="80" w:type="dxa"/>
              <w:end w:w="80" w:type="dxa"/>
            </w:tcMar>
            <w:vAlign w:val="top"/>
          </w:tcPr>
          <w:p>
            <w:pPr>
              <w:spacing w:after="40"/>
            </w:pPr>
            <w:r>
              <w:t>MVP</w:t>
            </w:r>
          </w:p>
        </w:tc>
        <w:tc>
          <w:tcPr>
            <w:tcW w:type="dxa" w:w="1296"/>
            <w:tcMar>
              <w:top w:w="80" w:type="dxa"/>
              <w:start w:w="80" w:type="dxa"/>
              <w:bottom w:w="80" w:type="dxa"/>
              <w:end w:w="80" w:type="dxa"/>
            </w:tcMar>
            <w:vAlign w:val="top"/>
          </w:tcPr>
          <w:p>
            <w:pPr>
              <w:spacing w:after="40"/>
            </w:pPr>
            <w:r>
              <w:t>Must</w:t>
            </w:r>
          </w:p>
        </w:tc>
      </w:tr>
      <w:tr>
        <w:tc>
          <w:tcPr>
            <w:tcW w:type="dxa" w:w="1152"/>
            <w:tcMar>
              <w:top w:w="80" w:type="dxa"/>
              <w:start w:w="80" w:type="dxa"/>
              <w:bottom w:w="80" w:type="dxa"/>
              <w:end w:w="80" w:type="dxa"/>
            </w:tcMar>
            <w:vAlign w:val="top"/>
          </w:tcPr>
          <w:p>
            <w:pPr>
              <w:spacing w:after="40"/>
            </w:pPr>
            <w:r>
              <w:t>SEC-007</w:t>
            </w:r>
          </w:p>
        </w:tc>
        <w:tc>
          <w:tcPr>
            <w:tcW w:type="dxa" w:w="6912"/>
            <w:tcMar>
              <w:top w:w="80" w:type="dxa"/>
              <w:start w:w="80" w:type="dxa"/>
              <w:bottom w:w="80" w:type="dxa"/>
              <w:end w:w="80" w:type="dxa"/>
            </w:tcMar>
            <w:vAlign w:val="top"/>
          </w:tcPr>
          <w:p>
            <w:pPr>
              <w:spacing w:after="40"/>
            </w:pPr>
            <w:r>
              <w:t>Support scheduled rotation, expiration alerts, approval workflows, and usage dashboards.</w:t>
            </w:r>
          </w:p>
        </w:tc>
        <w:tc>
          <w:tcPr>
            <w:tcW w:type="dxa" w:w="1584"/>
            <w:tcMar>
              <w:top w:w="80" w:type="dxa"/>
              <w:start w:w="80" w:type="dxa"/>
              <w:bottom w:w="80" w:type="dxa"/>
              <w:end w:w="80" w:type="dxa"/>
            </w:tcMar>
            <w:vAlign w:val="top"/>
          </w:tcPr>
          <w:p>
            <w:pPr>
              <w:spacing w:after="40"/>
            </w:pPr>
            <w:r>
              <w:t>Phase 2</w:t>
            </w:r>
          </w:p>
        </w:tc>
        <w:tc>
          <w:tcPr>
            <w:tcW w:type="dxa" w:w="1296"/>
            <w:tcMar>
              <w:top w:w="80" w:type="dxa"/>
              <w:start w:w="80" w:type="dxa"/>
              <w:bottom w:w="80" w:type="dxa"/>
              <w:end w:w="80" w:type="dxa"/>
            </w:tcMar>
            <w:vAlign w:val="top"/>
          </w:tcPr>
          <w:p>
            <w:pPr>
              <w:spacing w:after="40"/>
            </w:pPr>
            <w:r>
              <w:t>Should</w:t>
            </w:r>
          </w:p>
        </w:tc>
      </w:tr>
      <w:tr>
        <w:tc>
          <w:tcPr>
            <w:tcW w:type="dxa" w:w="1152"/>
            <w:tcMar>
              <w:top w:w="80" w:type="dxa"/>
              <w:start w:w="80" w:type="dxa"/>
              <w:bottom w:w="80" w:type="dxa"/>
              <w:end w:w="80" w:type="dxa"/>
            </w:tcMar>
            <w:vAlign w:val="top"/>
          </w:tcPr>
          <w:p>
            <w:pPr>
              <w:spacing w:after="40"/>
            </w:pPr>
            <w:r>
              <w:t>SEC-008</w:t>
            </w:r>
          </w:p>
        </w:tc>
        <w:tc>
          <w:tcPr>
            <w:tcW w:type="dxa" w:w="6912"/>
            <w:tcMar>
              <w:top w:w="80" w:type="dxa"/>
              <w:start w:w="80" w:type="dxa"/>
              <w:bottom w:w="80" w:type="dxa"/>
              <w:end w:w="80" w:type="dxa"/>
            </w:tcMar>
            <w:vAlign w:val="top"/>
          </w:tcPr>
          <w:p>
            <w:pPr>
              <w:spacing w:after="40"/>
            </w:pPr>
            <w:r>
              <w:t>Support dynamic database credentials where infrastructure permits.</w:t>
            </w:r>
          </w:p>
        </w:tc>
        <w:tc>
          <w:tcPr>
            <w:tcW w:type="dxa" w:w="1584"/>
            <w:tcMar>
              <w:top w:w="80" w:type="dxa"/>
              <w:start w:w="80" w:type="dxa"/>
              <w:bottom w:w="80" w:type="dxa"/>
              <w:end w:w="80" w:type="dxa"/>
            </w:tcMar>
            <w:vAlign w:val="top"/>
          </w:tcPr>
          <w:p>
            <w:pPr>
              <w:spacing w:after="40"/>
            </w:pPr>
            <w:r>
              <w:t>Phase 3</w:t>
            </w:r>
          </w:p>
        </w:tc>
        <w:tc>
          <w:tcPr>
            <w:tcW w:type="dxa" w:w="1296"/>
            <w:tcMar>
              <w:top w:w="80" w:type="dxa"/>
              <w:start w:w="80" w:type="dxa"/>
              <w:bottom w:w="80" w:type="dxa"/>
              <w:end w:w="80" w:type="dxa"/>
            </w:tcMar>
            <w:vAlign w:val="top"/>
          </w:tcPr>
          <w:p>
            <w:pPr>
              <w:spacing w:after="40"/>
            </w:pPr>
            <w:r>
              <w:t>Could</w:t>
            </w:r>
          </w:p>
        </w:tc>
      </w:tr>
    </w:tbl>
    <w:p/>
    <w:p>
      <w:pPr>
        <w:pStyle w:val="Heading1"/>
      </w:pPr>
      <w:r>
        <w:t>12. Vault-Compatible Design</w:t>
      </w:r>
    </w:p>
    <w:p>
      <w:r>
        <w:t>Use Vault KV for secret storage and Vault Transit for encryption, HMAC, signing, and sensitive field protection. Vault Transit provides encryption-as-a-service and does not store the original data sent to it; it can also sign, verify, hash, and generate HMACs.</w:t>
      </w:r>
    </w:p>
    <w:p>
      <w:pPr>
        <w:pStyle w:val="CodeBlock"/>
      </w:pPr>
      <w:r>
        <w:t>KV Path Strategy</w:t>
        <w:br/>
        <w:t>kv/heimdall/{env}/global/{secret_name}</w:t>
        <w:br/>
        <w:t>kv/heimdall/{env}/apps/{app_code}/{secret_name}</w:t>
        <w:br/>
        <w:t>kv/heimdall/{env}/apps/{app_code}/services/{service_code}/{secret_name}</w:t>
        <w:br/>
        <w:t>kv/heimdall/{env}/tenants/{tenant_slug}/{secret_name}</w:t>
        <w:br/>
        <w:t>kv/heimdall/{env}/tenants/{tenant_slug}/apps/{app_code}/{secret_name}</w:t>
        <w:br/>
        <w:t>kv/heimdall/{env}/providers/{provider_name}/{secret_name}</w:t>
        <w:br/>
        <w:t>kv/heimdall/{env}/databases/{database_name}/{secret_name}</w:t>
        <w:br/>
        <w:t>kv/heimdall/{env}/webhooks/{webhook_name}/{secret_name}</w:t>
        <w:br/>
        <w:br/>
        <w:t>Transit Key Strategy</w:t>
        <w:br/>
        <w:t>transit/keys/heimdall-{env}-identity</w:t>
        <w:br/>
        <w:t>transit/keys/heimdall-{env}-pii</w:t>
        <w:br/>
        <w:t>transit/keys/heimdall-{env}-webhooks</w:t>
        <w:br/>
        <w:t>transit/keys/heimdall-{env}-api-keys</w:t>
        <w:br/>
        <w:t>transit/keys/heimdall-{env}-signing</w:t>
      </w:r>
    </w:p>
    <w:p>
      <w:pPr>
        <w:pStyle w:val="Heading1"/>
      </w:pPr>
      <w:r>
        <w:t>13. Data Model Requirements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shd w:fill="1F4E78"/>
            <w:tcMar>
              <w:top w:w="80" w:type="dxa"/>
              <w:start w:w="80" w:type="dxa"/>
              <w:bottom w:w="80" w:type="dxa"/>
              <w:end w:w="80" w:type="dxa"/>
            </w:tcMar>
            <w:vAlign w:val="center"/>
          </w:tcPr>
          <w:p>
            <w:pPr>
              <w:spacing w:after="40"/>
            </w:pPr>
            <w:r>
              <w:rPr>
                <w:b/>
                <w:color w:val="FFFFFF"/>
              </w:rPr>
              <w:t>Domain</w:t>
            </w:r>
          </w:p>
        </w:tc>
        <w:tc>
          <w:tcPr>
            <w:tcW w:type="dxa" w:w="8352"/>
            <w:shd w:fill="1F4E78"/>
            <w:tcMar>
              <w:top w:w="80" w:type="dxa"/>
              <w:start w:w="80" w:type="dxa"/>
              <w:bottom w:w="80" w:type="dxa"/>
              <w:end w:w="80" w:type="dxa"/>
            </w:tcMar>
            <w:vAlign w:val="center"/>
          </w:tcPr>
          <w:p>
            <w:pPr>
              <w:spacing w:after="40"/>
            </w:pPr>
            <w:r>
              <w:rPr>
                <w:b/>
                <w:color w:val="FFFFFF"/>
              </w:rPr>
              <w:t>Tables / Entities</w:t>
            </w:r>
          </w:p>
        </w:tc>
      </w:tr>
      <w:tr>
        <w:tc>
          <w:tcPr>
            <w:tcW w:type="dxa" w:w="2592"/>
            <w:tcMar>
              <w:top w:w="80" w:type="dxa"/>
              <w:start w:w="80" w:type="dxa"/>
              <w:bottom w:w="80" w:type="dxa"/>
              <w:end w:w="80" w:type="dxa"/>
            </w:tcMar>
            <w:vAlign w:val="top"/>
          </w:tcPr>
          <w:p>
            <w:pPr>
              <w:spacing w:after="40"/>
            </w:pPr>
            <w:r>
              <w:t>Application &amp; Tenant</w:t>
            </w:r>
          </w:p>
        </w:tc>
        <w:tc>
          <w:tcPr>
            <w:tcW w:type="dxa" w:w="8352"/>
            <w:tcMar>
              <w:top w:w="80" w:type="dxa"/>
              <w:start w:w="80" w:type="dxa"/>
              <w:bottom w:w="80" w:type="dxa"/>
              <w:end w:w="80" w:type="dxa"/>
            </w:tcMar>
            <w:vAlign w:val="top"/>
          </w:tcPr>
          <w:p>
            <w:pPr>
              <w:spacing w:after="40"/>
            </w:pPr>
            <w:r>
              <w:t>applications, application_environments, tenants, tenant_domains, tenant_branding, tenant_policies</w:t>
            </w:r>
          </w:p>
        </w:tc>
      </w:tr>
      <w:tr>
        <w:tc>
          <w:tcPr>
            <w:tcW w:type="dxa" w:w="2592"/>
            <w:tcMar>
              <w:top w:w="80" w:type="dxa"/>
              <w:start w:w="80" w:type="dxa"/>
              <w:bottom w:w="80" w:type="dxa"/>
              <w:end w:w="80" w:type="dxa"/>
            </w:tcMar>
            <w:vAlign w:val="top"/>
          </w:tcPr>
          <w:p>
            <w:pPr>
              <w:spacing w:after="40"/>
            </w:pPr>
            <w:r>
              <w:t>Identity Graph</w:t>
            </w:r>
          </w:p>
        </w:tc>
        <w:tc>
          <w:tcPr>
            <w:tcW w:type="dxa" w:w="8352"/>
            <w:tcMar>
              <w:top w:w="80" w:type="dxa"/>
              <w:start w:w="80" w:type="dxa"/>
              <w:bottom w:w="80" w:type="dxa"/>
              <w:end w:w="80" w:type="dxa"/>
            </w:tcMar>
            <w:vAlign w:val="top"/>
          </w:tcPr>
          <w:p>
            <w:pPr>
              <w:spacing w:after="40"/>
            </w:pPr>
            <w:r>
              <w:t>parent_identities, credential_identities, identity_link_edges, keycloak_subject_links, app_personas</w:t>
            </w:r>
          </w:p>
        </w:tc>
      </w:tr>
      <w:tr>
        <w:tc>
          <w:tcPr>
            <w:tcW w:type="dxa" w:w="2592"/>
            <w:tcMar>
              <w:top w:w="80" w:type="dxa"/>
              <w:start w:w="80" w:type="dxa"/>
              <w:bottom w:w="80" w:type="dxa"/>
              <w:end w:w="80" w:type="dxa"/>
            </w:tcMar>
            <w:vAlign w:val="top"/>
          </w:tcPr>
          <w:p>
            <w:pPr>
              <w:spacing w:after="40"/>
            </w:pPr>
            <w:r>
              <w:t>Membership &amp; Authorization</w:t>
            </w:r>
          </w:p>
        </w:tc>
        <w:tc>
          <w:tcPr>
            <w:tcW w:type="dxa" w:w="8352"/>
            <w:tcMar>
              <w:top w:w="80" w:type="dxa"/>
              <w:start w:w="80" w:type="dxa"/>
              <w:bottom w:w="80" w:type="dxa"/>
              <w:end w:w="80" w:type="dxa"/>
            </w:tcMar>
            <w:vAlign w:val="top"/>
          </w:tcPr>
          <w:p>
            <w:pPr>
              <w:spacing w:after="40"/>
            </w:pPr>
            <w:r>
              <w:t>tenant_memberships, roles, permissions, role_permissions, persona_roles, access_policy_rules</w:t>
            </w:r>
          </w:p>
        </w:tc>
      </w:tr>
      <w:tr>
        <w:tc>
          <w:tcPr>
            <w:tcW w:type="dxa" w:w="2592"/>
            <w:tcMar>
              <w:top w:w="80" w:type="dxa"/>
              <w:start w:w="80" w:type="dxa"/>
              <w:bottom w:w="80" w:type="dxa"/>
              <w:end w:w="80" w:type="dxa"/>
            </w:tcMar>
            <w:vAlign w:val="top"/>
          </w:tcPr>
          <w:p>
            <w:pPr>
              <w:spacing w:after="40"/>
            </w:pPr>
            <w:r>
              <w:t>Guest &amp; Offline</w:t>
            </w:r>
          </w:p>
        </w:tc>
        <w:tc>
          <w:tcPr>
            <w:tcW w:type="dxa" w:w="8352"/>
            <w:tcMar>
              <w:top w:w="80" w:type="dxa"/>
              <w:start w:w="80" w:type="dxa"/>
              <w:bottom w:w="80" w:type="dxa"/>
              <w:end w:w="80" w:type="dxa"/>
            </w:tcMar>
            <w:vAlign w:val="top"/>
          </w:tcPr>
          <w:p>
            <w:pPr>
              <w:spacing w:after="40"/>
            </w:pPr>
            <w:r>
              <w:t>guest_identities, guest_upgrade_events, offline_identity_events, offline_sync_batches, offline_conflict_records, device_installations</w:t>
            </w:r>
          </w:p>
        </w:tc>
      </w:tr>
      <w:tr>
        <w:tc>
          <w:tcPr>
            <w:tcW w:type="dxa" w:w="2592"/>
            <w:tcMar>
              <w:top w:w="80" w:type="dxa"/>
              <w:start w:w="80" w:type="dxa"/>
              <w:bottom w:w="80" w:type="dxa"/>
              <w:end w:w="80" w:type="dxa"/>
            </w:tcMar>
            <w:vAlign w:val="top"/>
          </w:tcPr>
          <w:p>
            <w:pPr>
              <w:spacing w:after="40"/>
            </w:pPr>
            <w:r>
              <w:t>Minors &amp; Consent</w:t>
            </w:r>
          </w:p>
        </w:tc>
        <w:tc>
          <w:tcPr>
            <w:tcW w:type="dxa" w:w="8352"/>
            <w:tcMar>
              <w:top w:w="80" w:type="dxa"/>
              <w:start w:w="80" w:type="dxa"/>
              <w:bottom w:w="80" w:type="dxa"/>
              <w:end w:w="80" w:type="dxa"/>
            </w:tcMar>
            <w:vAlign w:val="top"/>
          </w:tcPr>
          <w:p>
            <w:pPr>
              <w:spacing w:after="40"/>
            </w:pPr>
            <w:r>
              <w:t>minor_profiles, guardian_relationships, guardian_consents, age_policy_rules, consent_records</w:t>
            </w:r>
          </w:p>
        </w:tc>
      </w:tr>
      <w:tr>
        <w:tc>
          <w:tcPr>
            <w:tcW w:type="dxa" w:w="2592"/>
            <w:tcMar>
              <w:top w:w="80" w:type="dxa"/>
              <w:start w:w="80" w:type="dxa"/>
              <w:bottom w:w="80" w:type="dxa"/>
              <w:end w:w="80" w:type="dxa"/>
            </w:tcMar>
            <w:vAlign w:val="top"/>
          </w:tcPr>
          <w:p>
            <w:pPr>
              <w:spacing w:after="40"/>
            </w:pPr>
            <w:r>
              <w:t>Verification &amp; Trust</w:t>
            </w:r>
          </w:p>
        </w:tc>
        <w:tc>
          <w:tcPr>
            <w:tcW w:type="dxa" w:w="8352"/>
            <w:tcMar>
              <w:top w:w="80" w:type="dxa"/>
              <w:start w:w="80" w:type="dxa"/>
              <w:bottom w:w="80" w:type="dxa"/>
              <w:end w:w="80" w:type="dxa"/>
            </w:tcMar>
            <w:vAlign w:val="top"/>
          </w:tcPr>
          <w:p>
            <w:pPr>
              <w:spacing w:after="40"/>
            </w:pPr>
            <w:r>
              <w:t>verification_records, verification_sources, verification_policy_rules</w:t>
            </w:r>
          </w:p>
        </w:tc>
      </w:tr>
      <w:tr>
        <w:tc>
          <w:tcPr>
            <w:tcW w:type="dxa" w:w="2592"/>
            <w:tcMar>
              <w:top w:w="80" w:type="dxa"/>
              <w:start w:w="80" w:type="dxa"/>
              <w:bottom w:w="80" w:type="dxa"/>
              <w:end w:w="80" w:type="dxa"/>
            </w:tcMar>
            <w:vAlign w:val="top"/>
          </w:tcPr>
          <w:p>
            <w:pPr>
              <w:spacing w:after="40"/>
            </w:pPr>
            <w:r>
              <w:t>Sessions &amp; Devices</w:t>
            </w:r>
          </w:p>
        </w:tc>
        <w:tc>
          <w:tcPr>
            <w:tcW w:type="dxa" w:w="8352"/>
            <w:tcMar>
              <w:top w:w="80" w:type="dxa"/>
              <w:start w:w="80" w:type="dxa"/>
              <w:bottom w:w="80" w:type="dxa"/>
              <w:end w:w="80" w:type="dxa"/>
            </w:tcMar>
            <w:vAlign w:val="top"/>
          </w:tcPr>
          <w:p>
            <w:pPr>
              <w:spacing w:after="40"/>
            </w:pPr>
            <w:r>
              <w:t>session_records, trusted_devices, device_risk_events</w:t>
            </w:r>
          </w:p>
        </w:tc>
      </w:tr>
      <w:tr>
        <w:tc>
          <w:tcPr>
            <w:tcW w:type="dxa" w:w="2592"/>
            <w:tcMar>
              <w:top w:w="80" w:type="dxa"/>
              <w:start w:w="80" w:type="dxa"/>
              <w:bottom w:w="80" w:type="dxa"/>
              <w:end w:w="80" w:type="dxa"/>
            </w:tcMar>
            <w:vAlign w:val="top"/>
          </w:tcPr>
          <w:p>
            <w:pPr>
              <w:spacing w:after="40"/>
            </w:pPr>
            <w:r>
              <w:t>Secrets</w:t>
            </w:r>
          </w:p>
        </w:tc>
        <w:tc>
          <w:tcPr>
            <w:tcW w:type="dxa" w:w="8352"/>
            <w:tcMar>
              <w:top w:w="80" w:type="dxa"/>
              <w:start w:w="80" w:type="dxa"/>
              <w:bottom w:w="80" w:type="dxa"/>
              <w:end w:w="80" w:type="dxa"/>
            </w:tcMar>
            <w:vAlign w:val="top"/>
          </w:tcPr>
          <w:p>
            <w:pPr>
              <w:spacing w:after="40"/>
            </w:pPr>
            <w:r>
              <w:t>secret_collections, secret_items, secret_versions, secret_access_policies, secret_access_grants, secret_rotation_policies, secret_rotation_events, vault_secret_references</w:t>
            </w:r>
          </w:p>
        </w:tc>
      </w:tr>
      <w:tr>
        <w:tc>
          <w:tcPr>
            <w:tcW w:type="dxa" w:w="2592"/>
            <w:tcMar>
              <w:top w:w="80" w:type="dxa"/>
              <w:start w:w="80" w:type="dxa"/>
              <w:bottom w:w="80" w:type="dxa"/>
              <w:end w:w="80" w:type="dxa"/>
            </w:tcMar>
            <w:vAlign w:val="top"/>
          </w:tcPr>
          <w:p>
            <w:pPr>
              <w:spacing w:after="40"/>
            </w:pPr>
            <w:r>
              <w:t>Service Accounts</w:t>
            </w:r>
          </w:p>
        </w:tc>
        <w:tc>
          <w:tcPr>
            <w:tcW w:type="dxa" w:w="8352"/>
            <w:tcMar>
              <w:top w:w="80" w:type="dxa"/>
              <w:start w:w="80" w:type="dxa"/>
              <w:bottom w:w="80" w:type="dxa"/>
              <w:end w:w="80" w:type="dxa"/>
            </w:tcMar>
            <w:vAlign w:val="top"/>
          </w:tcPr>
          <w:p>
            <w:pPr>
              <w:spacing w:after="40"/>
            </w:pPr>
            <w:r>
              <w:t>service_accounts, service_account_credentials, service_account_grants</w:t>
            </w:r>
          </w:p>
        </w:tc>
      </w:tr>
      <w:tr>
        <w:tc>
          <w:tcPr>
            <w:tcW w:type="dxa" w:w="2592"/>
            <w:tcMar>
              <w:top w:w="80" w:type="dxa"/>
              <w:start w:w="80" w:type="dxa"/>
              <w:bottom w:w="80" w:type="dxa"/>
              <w:end w:w="80" w:type="dxa"/>
            </w:tcMar>
            <w:vAlign w:val="top"/>
          </w:tcPr>
          <w:p>
            <w:pPr>
              <w:spacing w:after="40"/>
            </w:pPr>
            <w:r>
              <w:t>Events &amp; Audit</w:t>
            </w:r>
          </w:p>
        </w:tc>
        <w:tc>
          <w:tcPr>
            <w:tcW w:type="dxa" w:w="8352"/>
            <w:tcMar>
              <w:top w:w="80" w:type="dxa"/>
              <w:start w:w="80" w:type="dxa"/>
              <w:bottom w:w="80" w:type="dxa"/>
              <w:end w:w="80" w:type="dxa"/>
            </w:tcMar>
            <w:vAlign w:val="top"/>
          </w:tcPr>
          <w:p>
            <w:pPr>
              <w:spacing w:after="40"/>
            </w:pPr>
            <w:r>
              <w:t>identity_events, secret_usage_events, audit_logs, deletion_requests, break_glass_requests, break_glass_sessions</w:t>
            </w:r>
          </w:p>
        </w:tc>
      </w:tr>
      <w:tr>
        <w:tc>
          <w:tcPr>
            <w:tcW w:type="dxa" w:w="2592"/>
            <w:tcMar>
              <w:top w:w="80" w:type="dxa"/>
              <w:start w:w="80" w:type="dxa"/>
              <w:bottom w:w="80" w:type="dxa"/>
              <w:end w:w="80" w:type="dxa"/>
            </w:tcMar>
            <w:vAlign w:val="top"/>
          </w:tcPr>
          <w:p>
            <w:pPr>
              <w:spacing w:after="40"/>
            </w:pPr>
            <w:r>
              <w:t>Integration</w:t>
            </w:r>
          </w:p>
        </w:tc>
        <w:tc>
          <w:tcPr>
            <w:tcW w:type="dxa" w:w="8352"/>
            <w:tcMar>
              <w:top w:w="80" w:type="dxa"/>
              <w:start w:w="80" w:type="dxa"/>
              <w:bottom w:w="80" w:type="dxa"/>
              <w:end w:w="80" w:type="dxa"/>
            </w:tcMar>
            <w:vAlign w:val="top"/>
          </w:tcPr>
          <w:p>
            <w:pPr>
              <w:spacing w:after="40"/>
            </w:pPr>
            <w:r>
              <w:t>idp_clients, api_clients, webhook_endpoints, webhook_deliveries</w:t>
            </w:r>
          </w:p>
        </w:tc>
      </w:tr>
    </w:tbl>
    <w:p/>
    <w:p>
      <w:pPr>
        <w:pStyle w:val="Heading1"/>
      </w:pPr>
      <w:r>
        <w:t>14. API Domain Requirements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shd w:fill="1F4E78"/>
            <w:tcMar>
              <w:top w:w="80" w:type="dxa"/>
              <w:start w:w="80" w:type="dxa"/>
              <w:bottom w:w="80" w:type="dxa"/>
              <w:end w:w="80" w:type="dxa"/>
            </w:tcMar>
            <w:vAlign w:val="center"/>
          </w:tcPr>
          <w:p>
            <w:pPr>
              <w:spacing w:after="40"/>
            </w:pPr>
            <w:r>
              <w:rPr>
                <w:b/>
                <w:color w:val="FFFFFF"/>
              </w:rPr>
              <w:t>API Group</w:t>
            </w:r>
          </w:p>
        </w:tc>
        <w:tc>
          <w:tcPr>
            <w:tcW w:type="dxa" w:w="4608"/>
            <w:shd w:fill="1F4E78"/>
            <w:tcMar>
              <w:top w:w="80" w:type="dxa"/>
              <w:start w:w="80" w:type="dxa"/>
              <w:bottom w:w="80" w:type="dxa"/>
              <w:end w:w="80" w:type="dxa"/>
            </w:tcMar>
            <w:vAlign w:val="center"/>
          </w:tcPr>
          <w:p>
            <w:pPr>
              <w:spacing w:after="40"/>
            </w:pPr>
            <w:r>
              <w:rPr>
                <w:b/>
                <w:color w:val="FFFFFF"/>
              </w:rPr>
              <w:t>Example Endpoints</w:t>
            </w:r>
          </w:p>
        </w:tc>
        <w:tc>
          <w:tcPr>
            <w:tcW w:type="dxa" w:w="4176"/>
            <w:shd w:fill="1F4E78"/>
            <w:tcMar>
              <w:top w:w="80" w:type="dxa"/>
              <w:start w:w="80" w:type="dxa"/>
              <w:bottom w:w="80" w:type="dxa"/>
              <w:end w:w="80" w:type="dxa"/>
            </w:tcMar>
            <w:vAlign w:val="center"/>
          </w:tcPr>
          <w:p>
            <w:pPr>
              <w:spacing w:after="40"/>
            </w:pPr>
            <w:r>
              <w:rPr>
                <w:b/>
                <w:color w:val="FFFFFF"/>
              </w:rPr>
              <w:t>Purpose</w:t>
            </w:r>
          </w:p>
        </w:tc>
      </w:tr>
      <w:tr>
        <w:tc>
          <w:tcPr>
            <w:tcW w:type="dxa" w:w="2160"/>
            <w:tcMar>
              <w:top w:w="80" w:type="dxa"/>
              <w:start w:w="80" w:type="dxa"/>
              <w:bottom w:w="80" w:type="dxa"/>
              <w:end w:w="80" w:type="dxa"/>
            </w:tcMar>
            <w:vAlign w:val="top"/>
          </w:tcPr>
          <w:p>
            <w:pPr>
              <w:spacing w:after="40"/>
            </w:pPr>
            <w:r>
              <w:t>Identity</w:t>
            </w:r>
          </w:p>
        </w:tc>
        <w:tc>
          <w:tcPr>
            <w:tcW w:type="dxa" w:w="4608"/>
            <w:tcMar>
              <w:top w:w="80" w:type="dxa"/>
              <w:start w:w="80" w:type="dxa"/>
              <w:bottom w:w="80" w:type="dxa"/>
              <w:end w:w="80" w:type="dxa"/>
            </w:tcMar>
            <w:vAlign w:val="top"/>
          </w:tcPr>
          <w:p>
            <w:pPr>
              <w:spacing w:after="40"/>
            </w:pPr>
            <w:r>
              <w:t>/identities, /identities/{id}, /identities/{id}/credentials</w:t>
            </w:r>
          </w:p>
        </w:tc>
        <w:tc>
          <w:tcPr>
            <w:tcW w:type="dxa" w:w="4176"/>
            <w:tcMar>
              <w:top w:w="80" w:type="dxa"/>
              <w:start w:w="80" w:type="dxa"/>
              <w:bottom w:w="80" w:type="dxa"/>
              <w:end w:w="80" w:type="dxa"/>
            </w:tcMar>
            <w:vAlign w:val="top"/>
          </w:tcPr>
          <w:p>
            <w:pPr>
              <w:spacing w:after="40"/>
            </w:pPr>
            <w:r>
              <w:t>Create, retrieve, update, deactivate identity records and credential metadata.</w:t>
            </w:r>
          </w:p>
        </w:tc>
      </w:tr>
      <w:tr>
        <w:tc>
          <w:tcPr>
            <w:tcW w:type="dxa" w:w="2160"/>
            <w:tcMar>
              <w:top w:w="80" w:type="dxa"/>
              <w:start w:w="80" w:type="dxa"/>
              <w:bottom w:w="80" w:type="dxa"/>
              <w:end w:w="80" w:type="dxa"/>
            </w:tcMar>
            <w:vAlign w:val="top"/>
          </w:tcPr>
          <w:p>
            <w:pPr>
              <w:spacing w:after="40"/>
            </w:pPr>
            <w:r>
              <w:t>Linking</w:t>
            </w:r>
          </w:p>
        </w:tc>
        <w:tc>
          <w:tcPr>
            <w:tcW w:type="dxa" w:w="4608"/>
            <w:tcMar>
              <w:top w:w="80" w:type="dxa"/>
              <w:start w:w="80" w:type="dxa"/>
              <w:bottom w:w="80" w:type="dxa"/>
              <w:end w:w="80" w:type="dxa"/>
            </w:tcMar>
            <w:vAlign w:val="top"/>
          </w:tcPr>
          <w:p>
            <w:pPr>
              <w:spacing w:after="40"/>
            </w:pPr>
            <w:r>
              <w:t>/identity-links, /identity-links/{id}/unlink, /identity-links/admin-merge</w:t>
            </w:r>
          </w:p>
        </w:tc>
        <w:tc>
          <w:tcPr>
            <w:tcW w:type="dxa" w:w="4176"/>
            <w:tcMar>
              <w:top w:w="80" w:type="dxa"/>
              <w:start w:w="80" w:type="dxa"/>
              <w:bottom w:w="80" w:type="dxa"/>
              <w:end w:w="80" w:type="dxa"/>
            </w:tcMar>
            <w:vAlign w:val="top"/>
          </w:tcPr>
          <w:p>
            <w:pPr>
              <w:spacing w:after="40"/>
            </w:pPr>
            <w:r>
              <w:t>User/admin credential linking, unlinking, and merge controls.</w:t>
            </w:r>
          </w:p>
        </w:tc>
      </w:tr>
      <w:tr>
        <w:tc>
          <w:tcPr>
            <w:tcW w:type="dxa" w:w="2160"/>
            <w:tcMar>
              <w:top w:w="80" w:type="dxa"/>
              <w:start w:w="80" w:type="dxa"/>
              <w:bottom w:w="80" w:type="dxa"/>
              <w:end w:w="80" w:type="dxa"/>
            </w:tcMar>
            <w:vAlign w:val="top"/>
          </w:tcPr>
          <w:p>
            <w:pPr>
              <w:spacing w:after="40"/>
            </w:pPr>
            <w:r>
              <w:t>Personas</w:t>
            </w:r>
          </w:p>
        </w:tc>
        <w:tc>
          <w:tcPr>
            <w:tcW w:type="dxa" w:w="4608"/>
            <w:tcMar>
              <w:top w:w="80" w:type="dxa"/>
              <w:start w:w="80" w:type="dxa"/>
              <w:bottom w:w="80" w:type="dxa"/>
              <w:end w:w="80" w:type="dxa"/>
            </w:tcMar>
            <w:vAlign w:val="top"/>
          </w:tcPr>
          <w:p>
            <w:pPr>
              <w:spacing w:after="40"/>
            </w:pPr>
            <w:r>
              <w:t>/personas, /personas/{id}/activate, /personas/{id}/roles</w:t>
            </w:r>
          </w:p>
        </w:tc>
        <w:tc>
          <w:tcPr>
            <w:tcW w:type="dxa" w:w="4176"/>
            <w:tcMar>
              <w:top w:w="80" w:type="dxa"/>
              <w:start w:w="80" w:type="dxa"/>
              <w:bottom w:w="80" w:type="dxa"/>
              <w:end w:w="80" w:type="dxa"/>
            </w:tcMar>
            <w:vAlign w:val="top"/>
          </w:tcPr>
          <w:p>
            <w:pPr>
              <w:spacing w:after="40"/>
            </w:pPr>
            <w:r>
              <w:t>Create and resolve app/persona UUIDs.</w:t>
            </w:r>
          </w:p>
        </w:tc>
      </w:tr>
      <w:tr>
        <w:tc>
          <w:tcPr>
            <w:tcW w:type="dxa" w:w="2160"/>
            <w:tcMar>
              <w:top w:w="80" w:type="dxa"/>
              <w:start w:w="80" w:type="dxa"/>
              <w:bottom w:w="80" w:type="dxa"/>
              <w:end w:w="80" w:type="dxa"/>
            </w:tcMar>
            <w:vAlign w:val="top"/>
          </w:tcPr>
          <w:p>
            <w:pPr>
              <w:spacing w:after="40"/>
            </w:pPr>
            <w:r>
              <w:t>Tenants</w:t>
            </w:r>
          </w:p>
        </w:tc>
        <w:tc>
          <w:tcPr>
            <w:tcW w:type="dxa" w:w="4608"/>
            <w:tcMar>
              <w:top w:w="80" w:type="dxa"/>
              <w:start w:w="80" w:type="dxa"/>
              <w:bottom w:w="80" w:type="dxa"/>
              <w:end w:w="80" w:type="dxa"/>
            </w:tcMar>
            <w:vAlign w:val="top"/>
          </w:tcPr>
          <w:p>
            <w:pPr>
              <w:spacing w:after="40"/>
            </w:pPr>
            <w:r>
              <w:t>/tenants, /tenants/{id}/branding, /tenants/{id}/policies</w:t>
            </w:r>
          </w:p>
        </w:tc>
        <w:tc>
          <w:tcPr>
            <w:tcW w:type="dxa" w:w="4176"/>
            <w:tcMar>
              <w:top w:w="80" w:type="dxa"/>
              <w:start w:w="80" w:type="dxa"/>
              <w:bottom w:w="80" w:type="dxa"/>
              <w:end w:w="80" w:type="dxa"/>
            </w:tcMar>
            <w:vAlign w:val="top"/>
          </w:tcPr>
          <w:p>
            <w:pPr>
              <w:spacing w:after="40"/>
            </w:pPr>
            <w:r>
              <w:t>Tenant/client management and white-label settings.</w:t>
            </w:r>
          </w:p>
        </w:tc>
      </w:tr>
      <w:tr>
        <w:tc>
          <w:tcPr>
            <w:tcW w:type="dxa" w:w="2160"/>
            <w:tcMar>
              <w:top w:w="80" w:type="dxa"/>
              <w:start w:w="80" w:type="dxa"/>
              <w:bottom w:w="80" w:type="dxa"/>
              <w:end w:w="80" w:type="dxa"/>
            </w:tcMar>
            <w:vAlign w:val="top"/>
          </w:tcPr>
          <w:p>
            <w:pPr>
              <w:spacing w:after="40"/>
            </w:pPr>
            <w:r>
              <w:t>Minors</w:t>
            </w:r>
          </w:p>
        </w:tc>
        <w:tc>
          <w:tcPr>
            <w:tcW w:type="dxa" w:w="4608"/>
            <w:tcMar>
              <w:top w:w="80" w:type="dxa"/>
              <w:start w:w="80" w:type="dxa"/>
              <w:bottom w:w="80" w:type="dxa"/>
              <w:end w:w="80" w:type="dxa"/>
            </w:tcMar>
            <w:vAlign w:val="top"/>
          </w:tcPr>
          <w:p>
            <w:pPr>
              <w:spacing w:after="40"/>
            </w:pPr>
            <w:r>
              <w:t>/minor-profiles, /guardian-relationships, /guardian-consents</w:t>
            </w:r>
          </w:p>
        </w:tc>
        <w:tc>
          <w:tcPr>
            <w:tcW w:type="dxa" w:w="4176"/>
            <w:tcMar>
              <w:top w:w="80" w:type="dxa"/>
              <w:start w:w="80" w:type="dxa"/>
              <w:bottom w:w="80" w:type="dxa"/>
              <w:end w:w="80" w:type="dxa"/>
            </w:tcMar>
            <w:vAlign w:val="top"/>
          </w:tcPr>
          <w:p>
            <w:pPr>
              <w:spacing w:after="40"/>
            </w:pPr>
            <w:r>
              <w:t>Minor/guardian consent and account restrictions.</w:t>
            </w:r>
          </w:p>
        </w:tc>
      </w:tr>
      <w:tr>
        <w:tc>
          <w:tcPr>
            <w:tcW w:type="dxa" w:w="2160"/>
            <w:tcMar>
              <w:top w:w="80" w:type="dxa"/>
              <w:start w:w="80" w:type="dxa"/>
              <w:bottom w:w="80" w:type="dxa"/>
              <w:end w:w="80" w:type="dxa"/>
            </w:tcMar>
            <w:vAlign w:val="top"/>
          </w:tcPr>
          <w:p>
            <w:pPr>
              <w:spacing w:after="40"/>
            </w:pPr>
            <w:r>
              <w:t>Guests</w:t>
            </w:r>
          </w:p>
        </w:tc>
        <w:tc>
          <w:tcPr>
            <w:tcW w:type="dxa" w:w="4608"/>
            <w:tcMar>
              <w:top w:w="80" w:type="dxa"/>
              <w:start w:w="80" w:type="dxa"/>
              <w:bottom w:w="80" w:type="dxa"/>
              <w:end w:w="80" w:type="dxa"/>
            </w:tcMar>
            <w:vAlign w:val="top"/>
          </w:tcPr>
          <w:p>
            <w:pPr>
              <w:spacing w:after="40"/>
            </w:pPr>
            <w:r>
              <w:t>/guests, /guests/{id}/upgrade, /offline-events</w:t>
            </w:r>
          </w:p>
        </w:tc>
        <w:tc>
          <w:tcPr>
            <w:tcW w:type="dxa" w:w="4176"/>
            <w:tcMar>
              <w:top w:w="80" w:type="dxa"/>
              <w:start w:w="80" w:type="dxa"/>
              <w:bottom w:w="80" w:type="dxa"/>
              <w:end w:w="80" w:type="dxa"/>
            </w:tcMar>
            <w:vAlign w:val="top"/>
          </w:tcPr>
          <w:p>
            <w:pPr>
              <w:spacing w:after="40"/>
            </w:pPr>
            <w:r>
              <w:t>Anonymous identities and future offline sync intake.</w:t>
            </w:r>
          </w:p>
        </w:tc>
      </w:tr>
      <w:tr>
        <w:tc>
          <w:tcPr>
            <w:tcW w:type="dxa" w:w="2160"/>
            <w:tcMar>
              <w:top w:w="80" w:type="dxa"/>
              <w:start w:w="80" w:type="dxa"/>
              <w:bottom w:w="80" w:type="dxa"/>
              <w:end w:w="80" w:type="dxa"/>
            </w:tcMar>
            <w:vAlign w:val="top"/>
          </w:tcPr>
          <w:p>
            <w:pPr>
              <w:spacing w:after="40"/>
            </w:pPr>
            <w:r>
              <w:t>Authorization</w:t>
            </w:r>
          </w:p>
        </w:tc>
        <w:tc>
          <w:tcPr>
            <w:tcW w:type="dxa" w:w="4608"/>
            <w:tcMar>
              <w:top w:w="80" w:type="dxa"/>
              <w:start w:w="80" w:type="dxa"/>
              <w:bottom w:w="80" w:type="dxa"/>
              <w:end w:w="80" w:type="dxa"/>
            </w:tcMar>
            <w:vAlign w:val="top"/>
          </w:tcPr>
          <w:p>
            <w:pPr>
              <w:spacing w:after="40"/>
            </w:pPr>
            <w:r>
              <w:t>/authorize/check, /roles, /permissions</w:t>
            </w:r>
          </w:p>
        </w:tc>
        <w:tc>
          <w:tcPr>
            <w:tcW w:type="dxa" w:w="4176"/>
            <w:tcMar>
              <w:top w:w="80" w:type="dxa"/>
              <w:start w:w="80" w:type="dxa"/>
              <w:bottom w:w="80" w:type="dxa"/>
              <w:end w:w="80" w:type="dxa"/>
            </w:tcMar>
            <w:vAlign w:val="top"/>
          </w:tcPr>
          <w:p>
            <w:pPr>
              <w:spacing w:after="40"/>
            </w:pPr>
            <w:r>
              <w:t>Access decision and role/permission management.</w:t>
            </w:r>
          </w:p>
        </w:tc>
      </w:tr>
      <w:tr>
        <w:tc>
          <w:tcPr>
            <w:tcW w:type="dxa" w:w="2160"/>
            <w:tcMar>
              <w:top w:w="80" w:type="dxa"/>
              <w:start w:w="80" w:type="dxa"/>
              <w:bottom w:w="80" w:type="dxa"/>
              <w:end w:w="80" w:type="dxa"/>
            </w:tcMar>
            <w:vAlign w:val="top"/>
          </w:tcPr>
          <w:p>
            <w:pPr>
              <w:spacing w:after="40"/>
            </w:pPr>
            <w:r>
              <w:t>Secrets</w:t>
            </w:r>
          </w:p>
        </w:tc>
        <w:tc>
          <w:tcPr>
            <w:tcW w:type="dxa" w:w="4608"/>
            <w:tcMar>
              <w:top w:w="80" w:type="dxa"/>
              <w:start w:w="80" w:type="dxa"/>
              <w:bottom w:w="80" w:type="dxa"/>
              <w:end w:w="80" w:type="dxa"/>
            </w:tcMar>
            <w:vAlign w:val="top"/>
          </w:tcPr>
          <w:p>
            <w:pPr>
              <w:spacing w:after="40"/>
            </w:pPr>
            <w:r>
              <w:t>/secrets, /secrets/{id}/access, /secrets/{id}/rotate, /secrets/{id}/revoke</w:t>
            </w:r>
          </w:p>
        </w:tc>
        <w:tc>
          <w:tcPr>
            <w:tcW w:type="dxa" w:w="4176"/>
            <w:tcMar>
              <w:top w:w="80" w:type="dxa"/>
              <w:start w:w="80" w:type="dxa"/>
              <w:bottom w:w="80" w:type="dxa"/>
              <w:end w:w="80" w:type="dxa"/>
            </w:tcMar>
            <w:vAlign w:val="top"/>
          </w:tcPr>
          <w:p>
            <w:pPr>
              <w:spacing w:after="40"/>
            </w:pPr>
            <w:r>
              <w:t>Secret metadata, access, rotation, and audit workflows.</w:t>
            </w:r>
          </w:p>
        </w:tc>
      </w:tr>
      <w:tr>
        <w:tc>
          <w:tcPr>
            <w:tcW w:type="dxa" w:w="2160"/>
            <w:tcMar>
              <w:top w:w="80" w:type="dxa"/>
              <w:start w:w="80" w:type="dxa"/>
              <w:bottom w:w="80" w:type="dxa"/>
              <w:end w:w="80" w:type="dxa"/>
            </w:tcMar>
            <w:vAlign w:val="top"/>
          </w:tcPr>
          <w:p>
            <w:pPr>
              <w:spacing w:after="40"/>
            </w:pPr>
            <w:r>
              <w:t>Events</w:t>
            </w:r>
          </w:p>
        </w:tc>
        <w:tc>
          <w:tcPr>
            <w:tcW w:type="dxa" w:w="4608"/>
            <w:tcMar>
              <w:top w:w="80" w:type="dxa"/>
              <w:start w:w="80" w:type="dxa"/>
              <w:bottom w:w="80" w:type="dxa"/>
              <w:end w:w="80" w:type="dxa"/>
            </w:tcMar>
            <w:vAlign w:val="top"/>
          </w:tcPr>
          <w:p>
            <w:pPr>
              <w:spacing w:after="40"/>
            </w:pPr>
            <w:r>
              <w:t>/webhooks/keycloak, /events, /audit</w:t>
            </w:r>
          </w:p>
        </w:tc>
        <w:tc>
          <w:tcPr>
            <w:tcW w:type="dxa" w:w="4176"/>
            <w:tcMar>
              <w:top w:w="80" w:type="dxa"/>
              <w:start w:w="80" w:type="dxa"/>
              <w:bottom w:w="80" w:type="dxa"/>
              <w:end w:w="80" w:type="dxa"/>
            </w:tcMar>
            <w:vAlign w:val="top"/>
          </w:tcPr>
          <w:p>
            <w:pPr>
              <w:spacing w:after="40"/>
            </w:pPr>
            <w:r>
              <w:t>Keycloak event ingestion and event/audit retrieval.</w:t>
            </w:r>
          </w:p>
        </w:tc>
      </w:tr>
    </w:tbl>
    <w:p/>
    <w:p>
      <w:pPr>
        <w:pStyle w:val="Heading1"/>
      </w:pPr>
      <w:r>
        <w:t>15. Event and Audit Model</w:t>
      </w:r>
    </w:p>
    <w:p>
      <w:r>
        <w:t>HEIMDALL shall maintain an append-only event and audit ledger for identity and secrets operations. This is essential for compliance, support, replay, future offline synchronization, and AWS migration.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shd w:fill="1F4E78"/>
            <w:tcMar>
              <w:top w:w="80" w:type="dxa"/>
              <w:start w:w="80" w:type="dxa"/>
              <w:bottom w:w="80" w:type="dxa"/>
              <w:end w:w="80" w:type="dxa"/>
            </w:tcMar>
            <w:vAlign w:val="center"/>
          </w:tcPr>
          <w:p>
            <w:pPr>
              <w:spacing w:after="40"/>
            </w:pPr>
            <w:r>
              <w:rPr>
                <w:b/>
                <w:color w:val="FFFFFF"/>
              </w:rPr>
              <w:t>Event Category</w:t>
            </w:r>
          </w:p>
        </w:tc>
        <w:tc>
          <w:tcPr>
            <w:tcW w:type="dxa" w:w="8352"/>
            <w:shd w:fill="1F4E78"/>
            <w:tcMar>
              <w:top w:w="80" w:type="dxa"/>
              <w:start w:w="80" w:type="dxa"/>
              <w:bottom w:w="80" w:type="dxa"/>
              <w:end w:w="80" w:type="dxa"/>
            </w:tcMar>
            <w:vAlign w:val="center"/>
          </w:tcPr>
          <w:p>
            <w:pPr>
              <w:spacing w:after="40"/>
            </w:pPr>
            <w:r>
              <w:rPr>
                <w:b/>
                <w:color w:val="FFFFFF"/>
              </w:rPr>
              <w:t>Examples</w:t>
            </w:r>
          </w:p>
        </w:tc>
      </w:tr>
      <w:tr>
        <w:tc>
          <w:tcPr>
            <w:tcW w:type="dxa" w:w="2592"/>
            <w:tcMar>
              <w:top w:w="80" w:type="dxa"/>
              <w:start w:w="80" w:type="dxa"/>
              <w:bottom w:w="80" w:type="dxa"/>
              <w:end w:w="80" w:type="dxa"/>
            </w:tcMar>
            <w:vAlign w:val="top"/>
          </w:tcPr>
          <w:p>
            <w:pPr>
              <w:spacing w:after="40"/>
            </w:pPr>
            <w:r>
              <w:t>Identity</w:t>
            </w:r>
          </w:p>
        </w:tc>
        <w:tc>
          <w:tcPr>
            <w:tcW w:type="dxa" w:w="8352"/>
            <w:tcMar>
              <w:top w:w="80" w:type="dxa"/>
              <w:start w:w="80" w:type="dxa"/>
              <w:bottom w:w="80" w:type="dxa"/>
              <w:end w:w="80" w:type="dxa"/>
            </w:tcMar>
            <w:vAlign w:val="top"/>
          </w:tcPr>
          <w:p>
            <w:pPr>
              <w:spacing w:after="40"/>
            </w:pPr>
            <w:r>
              <w:t>identity.created, identity.updated, identity.deactivated, credential.linked, credential.unlinked, identity.merged</w:t>
            </w:r>
          </w:p>
        </w:tc>
      </w:tr>
      <w:tr>
        <w:tc>
          <w:tcPr>
            <w:tcW w:type="dxa" w:w="2592"/>
            <w:tcMar>
              <w:top w:w="80" w:type="dxa"/>
              <w:start w:w="80" w:type="dxa"/>
              <w:bottom w:w="80" w:type="dxa"/>
              <w:end w:w="80" w:type="dxa"/>
            </w:tcMar>
            <w:vAlign w:val="top"/>
          </w:tcPr>
          <w:p>
            <w:pPr>
              <w:spacing w:after="40"/>
            </w:pPr>
            <w:r>
              <w:t>Persona</w:t>
            </w:r>
          </w:p>
        </w:tc>
        <w:tc>
          <w:tcPr>
            <w:tcW w:type="dxa" w:w="8352"/>
            <w:tcMar>
              <w:top w:w="80" w:type="dxa"/>
              <w:start w:w="80" w:type="dxa"/>
              <w:bottom w:w="80" w:type="dxa"/>
              <w:end w:w="80" w:type="dxa"/>
            </w:tcMar>
            <w:vAlign w:val="top"/>
          </w:tcPr>
          <w:p>
            <w:pPr>
              <w:spacing w:after="40"/>
            </w:pPr>
            <w:r>
              <w:t>persona.created, persona.activated, persona.switched, persona.disabled</w:t>
            </w:r>
          </w:p>
        </w:tc>
      </w:tr>
      <w:tr>
        <w:tc>
          <w:tcPr>
            <w:tcW w:type="dxa" w:w="2592"/>
            <w:tcMar>
              <w:top w:w="80" w:type="dxa"/>
              <w:start w:w="80" w:type="dxa"/>
              <w:bottom w:w="80" w:type="dxa"/>
              <w:end w:w="80" w:type="dxa"/>
            </w:tcMar>
            <w:vAlign w:val="top"/>
          </w:tcPr>
          <w:p>
            <w:pPr>
              <w:spacing w:after="40"/>
            </w:pPr>
            <w:r>
              <w:t>Tenant</w:t>
            </w:r>
          </w:p>
        </w:tc>
        <w:tc>
          <w:tcPr>
            <w:tcW w:type="dxa" w:w="8352"/>
            <w:tcMar>
              <w:top w:w="80" w:type="dxa"/>
              <w:start w:w="80" w:type="dxa"/>
              <w:bottom w:w="80" w:type="dxa"/>
              <w:end w:w="80" w:type="dxa"/>
            </w:tcMar>
            <w:vAlign w:val="top"/>
          </w:tcPr>
          <w:p>
            <w:pPr>
              <w:spacing w:after="40"/>
            </w:pPr>
            <w:r>
              <w:t>tenant.created, tenant.branding.updated, tenant.policy.updated, tenant.realm.created</w:t>
            </w:r>
          </w:p>
        </w:tc>
      </w:tr>
      <w:tr>
        <w:tc>
          <w:tcPr>
            <w:tcW w:type="dxa" w:w="2592"/>
            <w:tcMar>
              <w:top w:w="80" w:type="dxa"/>
              <w:start w:w="80" w:type="dxa"/>
              <w:bottom w:w="80" w:type="dxa"/>
              <w:end w:w="80" w:type="dxa"/>
            </w:tcMar>
            <w:vAlign w:val="top"/>
          </w:tcPr>
          <w:p>
            <w:pPr>
              <w:spacing w:after="40"/>
            </w:pPr>
            <w:r>
              <w:t>Minor/Guardian</w:t>
            </w:r>
          </w:p>
        </w:tc>
        <w:tc>
          <w:tcPr>
            <w:tcW w:type="dxa" w:w="8352"/>
            <w:tcMar>
              <w:top w:w="80" w:type="dxa"/>
              <w:start w:w="80" w:type="dxa"/>
              <w:bottom w:w="80" w:type="dxa"/>
              <w:end w:w="80" w:type="dxa"/>
            </w:tcMar>
            <w:vAlign w:val="top"/>
          </w:tcPr>
          <w:p>
            <w:pPr>
              <w:spacing w:after="40"/>
            </w:pPr>
            <w:r>
              <w:t>minor.created, guardian.linked, consent.granted, consent.revoked, age.transitioned</w:t>
            </w:r>
          </w:p>
        </w:tc>
      </w:tr>
      <w:tr>
        <w:tc>
          <w:tcPr>
            <w:tcW w:type="dxa" w:w="2592"/>
            <w:tcMar>
              <w:top w:w="80" w:type="dxa"/>
              <w:start w:w="80" w:type="dxa"/>
              <w:bottom w:w="80" w:type="dxa"/>
              <w:end w:w="80" w:type="dxa"/>
            </w:tcMar>
            <w:vAlign w:val="top"/>
          </w:tcPr>
          <w:p>
            <w:pPr>
              <w:spacing w:after="40"/>
            </w:pPr>
            <w:r>
              <w:t>Guest/Offline</w:t>
            </w:r>
          </w:p>
        </w:tc>
        <w:tc>
          <w:tcPr>
            <w:tcW w:type="dxa" w:w="8352"/>
            <w:tcMar>
              <w:top w:w="80" w:type="dxa"/>
              <w:start w:w="80" w:type="dxa"/>
              <w:bottom w:w="80" w:type="dxa"/>
              <w:end w:w="80" w:type="dxa"/>
            </w:tcMar>
            <w:vAlign w:val="top"/>
          </w:tcPr>
          <w:p>
            <w:pPr>
              <w:spacing w:after="40"/>
            </w:pPr>
            <w:r>
              <w:t>guest.created, guest.claimed, guest.upgraded, offline_event.received, offline_conflict.created</w:t>
            </w:r>
          </w:p>
        </w:tc>
      </w:tr>
      <w:tr>
        <w:tc>
          <w:tcPr>
            <w:tcW w:type="dxa" w:w="2592"/>
            <w:tcMar>
              <w:top w:w="80" w:type="dxa"/>
              <w:start w:w="80" w:type="dxa"/>
              <w:bottom w:w="80" w:type="dxa"/>
              <w:end w:w="80" w:type="dxa"/>
            </w:tcMar>
            <w:vAlign w:val="top"/>
          </w:tcPr>
          <w:p>
            <w:pPr>
              <w:spacing w:after="40"/>
            </w:pPr>
            <w:r>
              <w:t>Verification</w:t>
            </w:r>
          </w:p>
        </w:tc>
        <w:tc>
          <w:tcPr>
            <w:tcW w:type="dxa" w:w="8352"/>
            <w:tcMar>
              <w:top w:w="80" w:type="dxa"/>
              <w:start w:w="80" w:type="dxa"/>
              <w:bottom w:w="80" w:type="dxa"/>
              <w:end w:w="80" w:type="dxa"/>
            </w:tcMar>
            <w:vAlign w:val="top"/>
          </w:tcPr>
          <w:p>
            <w:pPr>
              <w:spacing w:after="40"/>
            </w:pPr>
            <w:r>
              <w:t>verification.created, verification.approved, verification.revoked, verification.expired</w:t>
            </w:r>
          </w:p>
        </w:tc>
      </w:tr>
      <w:tr>
        <w:tc>
          <w:tcPr>
            <w:tcW w:type="dxa" w:w="2592"/>
            <w:tcMar>
              <w:top w:w="80" w:type="dxa"/>
              <w:start w:w="80" w:type="dxa"/>
              <w:bottom w:w="80" w:type="dxa"/>
              <w:end w:w="80" w:type="dxa"/>
            </w:tcMar>
            <w:vAlign w:val="top"/>
          </w:tcPr>
          <w:p>
            <w:pPr>
              <w:spacing w:after="40"/>
            </w:pPr>
            <w:r>
              <w:t>Secrets</w:t>
            </w:r>
          </w:p>
        </w:tc>
        <w:tc>
          <w:tcPr>
            <w:tcW w:type="dxa" w:w="8352"/>
            <w:tcMar>
              <w:top w:w="80" w:type="dxa"/>
              <w:start w:w="80" w:type="dxa"/>
              <w:bottom w:w="80" w:type="dxa"/>
              <w:end w:w="80" w:type="dxa"/>
            </w:tcMar>
            <w:vAlign w:val="top"/>
          </w:tcPr>
          <w:p>
            <w:pPr>
              <w:spacing w:after="40"/>
            </w:pPr>
            <w:r>
              <w:t>secret.created, secret.accessed, secret.rotated, secret.revoked, secret.access_denied</w:t>
            </w:r>
          </w:p>
        </w:tc>
      </w:tr>
      <w:tr>
        <w:tc>
          <w:tcPr>
            <w:tcW w:type="dxa" w:w="2592"/>
            <w:tcMar>
              <w:top w:w="80" w:type="dxa"/>
              <w:start w:w="80" w:type="dxa"/>
              <w:bottom w:w="80" w:type="dxa"/>
              <w:end w:w="80" w:type="dxa"/>
            </w:tcMar>
            <w:vAlign w:val="top"/>
          </w:tcPr>
          <w:p>
            <w:pPr>
              <w:spacing w:after="40"/>
            </w:pPr>
            <w:r>
              <w:t>Security</w:t>
            </w:r>
          </w:p>
        </w:tc>
        <w:tc>
          <w:tcPr>
            <w:tcW w:type="dxa" w:w="8352"/>
            <w:tcMar>
              <w:top w:w="80" w:type="dxa"/>
              <w:start w:w="80" w:type="dxa"/>
              <w:bottom w:w="80" w:type="dxa"/>
              <w:end w:w="80" w:type="dxa"/>
            </w:tcMar>
            <w:vAlign w:val="top"/>
          </w:tcPr>
          <w:p>
            <w:pPr>
              <w:spacing w:after="40"/>
            </w:pPr>
            <w:r>
              <w:t>login.failed, token.revoked, break_glass.requested, break_glass.approved, admin.override.used</w:t>
            </w:r>
          </w:p>
        </w:tc>
      </w:tr>
    </w:tbl>
    <w:p/>
    <w:p>
      <w:pPr>
        <w:pStyle w:val="Heading1"/>
      </w:pPr>
      <w:r>
        <w:t>16. Security Requirements</w:t>
      </w:r>
    </w:p>
    <w:p>
      <w:pPr>
        <w:pStyle w:val="ListBullet"/>
      </w:pPr>
      <w:r>
        <w:t>Encrypt sensitive PII using Vault-compatible transit encryption where practical.</w:t>
      </w:r>
    </w:p>
    <w:p>
      <w:pPr>
        <w:pStyle w:val="ListBullet"/>
      </w:pPr>
      <w:r>
        <w:t>Store normalized hashes/HMACs for searchable PII such as email and phone, never plaintext search fields.</w:t>
      </w:r>
    </w:p>
    <w:p>
      <w:pPr>
        <w:pStyle w:val="ListBullet"/>
      </w:pPr>
      <w:r>
        <w:t>Require strong admin access control for identity merges, secret access, production credential views, and break-glass sessions.</w:t>
      </w:r>
    </w:p>
    <w:p>
      <w:pPr>
        <w:pStyle w:val="ListBullet"/>
      </w:pPr>
      <w:r>
        <w:t>Use least-privilege service accounts and scoped credentials for apps, workers, and integrations.</w:t>
      </w:r>
    </w:p>
    <w:p>
      <w:pPr>
        <w:pStyle w:val="ListBullet"/>
      </w:pPr>
      <w:r>
        <w:t>Do not expose production secret values to frontend code or browser environments.</w:t>
      </w:r>
    </w:p>
    <w:p>
      <w:pPr>
        <w:pStyle w:val="ListBullet"/>
      </w:pPr>
      <w:r>
        <w:t>Log and alert on failed secret access, unusual admin actions, repeated login failures, suspicious credential linking, and high-value guest upgrade attempts.</w:t>
      </w:r>
    </w:p>
    <w:p>
      <w:pPr>
        <w:pStyle w:val="ListBullet"/>
      </w:pPr>
      <w:r>
        <w:t>Support soft deletion, deactivation, legal hold flags, and future deletion/export workflows.</w:t>
      </w:r>
    </w:p>
    <w:p>
      <w:pPr>
        <w:pStyle w:val="ListBullet"/>
      </w:pPr>
      <w:r>
        <w:t>Plan for CJIS-oriented controls later, but do not build full CJIS compliance in MVP unless required by a signed client need.</w:t>
      </w:r>
    </w:p>
    <w:p>
      <w:pPr>
        <w:pStyle w:val="Heading1"/>
      </w:pPr>
      <w:r>
        <w:t>17. MVP and Phased Roadmap</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440"/>
            <w:shd w:fill="1F4E78"/>
            <w:tcMar>
              <w:top w:w="80" w:type="dxa"/>
              <w:start w:w="80" w:type="dxa"/>
              <w:bottom w:w="80" w:type="dxa"/>
              <w:end w:w="80" w:type="dxa"/>
            </w:tcMar>
            <w:vAlign w:val="center"/>
          </w:tcPr>
          <w:p>
            <w:pPr>
              <w:spacing w:after="40"/>
            </w:pPr>
            <w:r>
              <w:rPr>
                <w:b/>
                <w:color w:val="FFFFFF"/>
              </w:rPr>
              <w:t>Phase</w:t>
            </w:r>
          </w:p>
        </w:tc>
        <w:tc>
          <w:tcPr>
            <w:tcW w:type="dxa" w:w="9504"/>
            <w:shd w:fill="1F4E78"/>
            <w:tcMar>
              <w:top w:w="80" w:type="dxa"/>
              <w:start w:w="80" w:type="dxa"/>
              <w:bottom w:w="80" w:type="dxa"/>
              <w:end w:w="80" w:type="dxa"/>
            </w:tcMar>
            <w:vAlign w:val="center"/>
          </w:tcPr>
          <w:p>
            <w:pPr>
              <w:spacing w:after="40"/>
            </w:pPr>
            <w:r>
              <w:rPr>
                <w:b/>
                <w:color w:val="FFFFFF"/>
              </w:rPr>
              <w:t>Scope</w:t>
            </w:r>
          </w:p>
        </w:tc>
      </w:tr>
      <w:tr>
        <w:tc>
          <w:tcPr>
            <w:tcW w:type="dxa" w:w="1440"/>
            <w:tcMar>
              <w:top w:w="80" w:type="dxa"/>
              <w:start w:w="80" w:type="dxa"/>
              <w:bottom w:w="80" w:type="dxa"/>
              <w:end w:w="80" w:type="dxa"/>
            </w:tcMar>
            <w:vAlign w:val="top"/>
          </w:tcPr>
          <w:p>
            <w:pPr>
              <w:spacing w:after="40"/>
            </w:pPr>
            <w:r>
              <w:t>MVP</w:t>
            </w:r>
          </w:p>
        </w:tc>
        <w:tc>
          <w:tcPr>
            <w:tcW w:type="dxa" w:w="9504"/>
            <w:tcMar>
              <w:top w:w="80" w:type="dxa"/>
              <w:start w:w="80" w:type="dxa"/>
              <w:bottom w:w="80" w:type="dxa"/>
              <w:end w:w="80" w:type="dxa"/>
            </w:tcMar>
            <w:vAlign w:val="top"/>
          </w:tcPr>
          <w:p>
            <w:pPr>
              <w:spacing w:after="40"/>
            </w:pPr>
            <w:r>
              <w:t>Keycloak dev/stage/prod setup; HEIMDALL Identity Graph; Parent UUID; personas; tenant/branding base; guest UUID; minor/guardian base; Vault-compatible secrets registry; basic role/permission resolver; Keycloak event ingestion; audit ledger; Myriad Dashboard/PEDL/Quest pilot integration.</w:t>
            </w:r>
          </w:p>
        </w:tc>
      </w:tr>
      <w:tr>
        <w:tc>
          <w:tcPr>
            <w:tcW w:type="dxa" w:w="1440"/>
            <w:tcMar>
              <w:top w:w="80" w:type="dxa"/>
              <w:start w:w="80" w:type="dxa"/>
              <w:bottom w:w="80" w:type="dxa"/>
              <w:end w:w="80" w:type="dxa"/>
            </w:tcMar>
            <w:vAlign w:val="top"/>
          </w:tcPr>
          <w:p>
            <w:pPr>
              <w:spacing w:after="40"/>
            </w:pPr>
            <w:r>
              <w:t>Phase 2</w:t>
            </w:r>
          </w:p>
        </w:tc>
        <w:tc>
          <w:tcPr>
            <w:tcW w:type="dxa" w:w="9504"/>
            <w:tcMar>
              <w:top w:w="80" w:type="dxa"/>
              <w:start w:w="80" w:type="dxa"/>
              <w:bottom w:w="80" w:type="dxa"/>
              <w:end w:w="80" w:type="dxa"/>
            </w:tcMar>
            <w:vAlign w:val="top"/>
          </w:tcPr>
          <w:p>
            <w:pPr>
              <w:spacing w:after="40"/>
            </w:pPr>
            <w:r>
              <w:t>Passwordless/OTP; Apple login; offline sync intake; more complete tenant policy; secret rotation policies; approval workflow; expiration alerts; Auth0 compatibility adapter; white-label account notification/linking UX; device/session management expansion.</w:t>
            </w:r>
          </w:p>
        </w:tc>
      </w:tr>
      <w:tr>
        <w:tc>
          <w:tcPr>
            <w:tcW w:type="dxa" w:w="1440"/>
            <w:tcMar>
              <w:top w:w="80" w:type="dxa"/>
              <w:start w:w="80" w:type="dxa"/>
              <w:bottom w:w="80" w:type="dxa"/>
              <w:end w:w="80" w:type="dxa"/>
            </w:tcMar>
            <w:vAlign w:val="top"/>
          </w:tcPr>
          <w:p>
            <w:pPr>
              <w:spacing w:after="40"/>
            </w:pPr>
            <w:r>
              <w:t>Phase 3</w:t>
            </w:r>
          </w:p>
        </w:tc>
        <w:tc>
          <w:tcPr>
            <w:tcW w:type="dxa" w:w="9504"/>
            <w:tcMar>
              <w:top w:w="80" w:type="dxa"/>
              <w:start w:w="80" w:type="dxa"/>
              <w:bottom w:w="80" w:type="dxa"/>
              <w:end w:w="80" w:type="dxa"/>
            </w:tcMar>
            <w:vAlign w:val="top"/>
          </w:tcPr>
          <w:p>
            <w:pPr>
              <w:spacing w:after="40"/>
            </w:pPr>
            <w:r>
              <w:t>Okta/enterprise SSO federation; CJIS-oriented controls; dynamic database credentials; advanced policy engine; risk-based authentication; AWS-native deployment option; SIEM/security dashboards; automated rotation; service mesh/workload identity.</w:t>
            </w:r>
          </w:p>
        </w:tc>
      </w:tr>
    </w:tbl>
    <w:p/>
    <w:p>
      <w:pPr>
        <w:pStyle w:val="Heading1"/>
      </w:pPr>
      <w:r>
        <w:t>18. Development Prompting Package</w:t>
      </w:r>
    </w:p>
    <w:p>
      <w:r>
        <w:t>Use the following prompts in sequence to begin implementation work.</w:t>
      </w:r>
    </w:p>
    <w:p>
      <w:pPr>
        <w:pStyle w:val="Heading3"/>
      </w:pPr>
      <w:r>
        <w:t>Prompt 1: Architecture ADR</w:t>
      </w:r>
    </w:p>
    <w:p>
      <w:pPr>
        <w:pStyle w:val="CodeBlock"/>
      </w:pPr>
      <w:r>
        <w:t>Create an Architecture Decision Record for HEIMDALL using Vercel + Supabase + containerized Keycloak + Vault-compatible architecture with AWS readiness. Include context, decision, alternatives rejected, consequences, security boundaries, and migration path.</w:t>
      </w:r>
    </w:p>
    <w:p>
      <w:pPr>
        <w:pStyle w:val="Heading3"/>
      </w:pPr>
      <w:r>
        <w:t>Prompt 2: Database Schema</w:t>
      </w:r>
    </w:p>
    <w:p>
      <w:pPr>
        <w:pStyle w:val="CodeBlock"/>
      </w:pPr>
      <w:r>
        <w:t>Create a Supabase-compatible PostgreSQL schema for HEIMDALL including applications, tenants, tenant_branding, parent_identities, credential_identities, identity_link_edges, keycloak_subject_links, app_personas, tenant_memberships, roles, permissions, role_permissions, persona_roles, guardian_relationships, guardian_consents, minor_profiles, age_policy_rules, guest_identities, guest_upgrade_events, offline_identity_events, offline_sync_batches, verification_records, session_records, trusted_devices, secret_collections, secret_items, secret_versions, secret_access_policies, secret_rotation_policies, vault_secret_references, service_accounts, identity_events, audit_logs, consent_records, deletion_requests, and break_glass tables.</w:t>
      </w:r>
    </w:p>
    <w:p>
      <w:pPr>
        <w:pStyle w:val="Heading3"/>
      </w:pPr>
      <w:r>
        <w:t>Prompt 3: Keycloak Configuration</w:t>
      </w:r>
    </w:p>
    <w:p>
      <w:pPr>
        <w:pStyle w:val="CodeBlock"/>
      </w:pPr>
      <w:r>
        <w:t>Create a Keycloak configuration blueprint for HEIMDALL with realm strategy, client definitions, organizations/groups usage, themes, token claims, protocol mappers, login flows, social providers, future Auth0 compatibility, future Okta SSO federation, event listeners, and mapping to HEIMDALL Parent UUIDs.</w:t>
      </w:r>
    </w:p>
    <w:p>
      <w:pPr>
        <w:pStyle w:val="Heading3"/>
      </w:pPr>
      <w:r>
        <w:t>Prompt 4: Vault-Compatible Secrets Design</w:t>
      </w:r>
    </w:p>
    <w:p>
      <w:pPr>
        <w:pStyle w:val="CodeBlock"/>
      </w:pPr>
      <w:r>
        <w:t>Create a Vault-compatible secrets design for HEIMDALL covering KV paths, transit keys, PII encryption/HMAC strategy, secret metadata registry, access policies, approval workflow, rotation workflow, break-glass access, and future AWS Secrets Manager/KMS adapter.</w:t>
      </w:r>
    </w:p>
    <w:p>
      <w:pPr>
        <w:pStyle w:val="Heading3"/>
      </w:pPr>
      <w:r>
        <w:t>Prompt 5: API Specification</w:t>
      </w:r>
    </w:p>
    <w:p>
      <w:pPr>
        <w:pStyle w:val="CodeBlock"/>
      </w:pPr>
      <w:r>
        <w:t>Create a REST API specification for HEIMDALL with identity, credential linking, personas, tenants, minors/guardians, guests, authorization, secrets, service accounts, Keycloak events, audit logs, and admin operations. Include method, path, purpose, auth scope, request, response, errors, and MVP/Phase designation.</w:t>
      </w:r>
    </w:p>
    <w:p>
      <w:pPr>
        <w:pStyle w:val="Heading3"/>
      </w:pPr>
      <w:r>
        <w:t>Prompt 6: MVP Backlog</w:t>
      </w:r>
    </w:p>
    <w:p>
      <w:pPr>
        <w:pStyle w:val="CodeBlock"/>
      </w:pPr>
      <w:r>
        <w:t>Create a GitHub-ready MVP backlog for HEIMDALL with epics, issues, acceptance criteria, labels, priority, estimates, dependencies, and target repositories for Keycloak setup, Vault setup, schema, HEIMDALL Core API, identity graph, secrets broker, minors, guests, tenants, authorization, audit, and PEDL/Quest pilots.</w:t>
      </w:r>
    </w:p>
    <w:p>
      <w:pPr>
        <w:pStyle w:val="Heading1"/>
      </w:pPr>
      <w:r>
        <w:t>19. Recommended Build Order</w:t>
      </w:r>
    </w:p>
    <w:p>
      <w:pPr>
        <w:pStyle w:val="ListNumber"/>
      </w:pPr>
      <w:r>
        <w:t>Approve Architecture Decision Record: Keycloak + Vault-compatible + HEIMDALL Identity Graph.</w:t>
      </w:r>
    </w:p>
    <w:p>
      <w:pPr>
        <w:pStyle w:val="ListNumber"/>
      </w:pPr>
      <w:r>
        <w:t>Create local Docker Compose for Keycloak, Postgres, and Vault-compatible development.</w:t>
      </w:r>
    </w:p>
    <w:p>
      <w:pPr>
        <w:pStyle w:val="ListNumber"/>
      </w:pPr>
      <w:r>
        <w:t>Create HEIMDALL PostgreSQL schema and migration framework.</w:t>
      </w:r>
    </w:p>
    <w:p>
      <w:pPr>
        <w:pStyle w:val="ListNumber"/>
      </w:pPr>
      <w:r>
        <w:t>Create Keycloak base realms, clients, themes, and protocol mapper strategy.</w:t>
      </w:r>
    </w:p>
    <w:p>
      <w:pPr>
        <w:pStyle w:val="ListNumber"/>
      </w:pPr>
      <w:r>
        <w:t>Create Vault-compatible abstraction and local Vault setup.</w:t>
      </w:r>
    </w:p>
    <w:p>
      <w:pPr>
        <w:pStyle w:val="ListNumber"/>
      </w:pPr>
      <w:r>
        <w:t>Scaffold HEIMDALL Core API with health, auth middleware, config, and migrations.</w:t>
      </w:r>
    </w:p>
    <w:p>
      <w:pPr>
        <w:pStyle w:val="ListNumber"/>
      </w:pPr>
      <w:r>
        <w:t>Implement Parent Identity service and Keycloak subject mapping.</w:t>
      </w:r>
    </w:p>
    <w:p>
      <w:pPr>
        <w:pStyle w:val="ListNumber"/>
      </w:pPr>
      <w:r>
        <w:t>Implement Credential Identity and explicit linking/unlinking model.</w:t>
      </w:r>
    </w:p>
    <w:p>
      <w:pPr>
        <w:pStyle w:val="ListNumber"/>
      </w:pPr>
      <w:r>
        <w:t>Implement Persona service and app-specific persona switching.</w:t>
      </w:r>
    </w:p>
    <w:p>
      <w:pPr>
        <w:pStyle w:val="ListNumber"/>
      </w:pPr>
      <w:r>
        <w:t>Implement Tenant and white-label branding service.</w:t>
      </w:r>
    </w:p>
    <w:p>
      <w:pPr>
        <w:pStyle w:val="ListNumber"/>
      </w:pPr>
      <w:r>
        <w:t>Implement Minor/Guardian consent service.</w:t>
      </w:r>
    </w:p>
    <w:p>
      <w:pPr>
        <w:pStyle w:val="ListNumber"/>
      </w:pPr>
      <w:r>
        <w:t>Implement Guest Identity and upgrade workflow.</w:t>
      </w:r>
    </w:p>
    <w:p>
      <w:pPr>
        <w:pStyle w:val="ListNumber"/>
      </w:pPr>
      <w:r>
        <w:t>Implement Secrets Registry and Vault broker access model.</w:t>
      </w:r>
    </w:p>
    <w:p>
      <w:pPr>
        <w:pStyle w:val="ListNumber"/>
      </w:pPr>
      <w:r>
        <w:t>Implement Role/Permission resolver and dashboard access controls.</w:t>
      </w:r>
    </w:p>
    <w:p>
      <w:pPr>
        <w:pStyle w:val="ListNumber"/>
      </w:pPr>
      <w:r>
        <w:t>Implement audit/event ledger and Keycloak event ingestion.</w:t>
      </w:r>
    </w:p>
    <w:p>
      <w:pPr>
        <w:pStyle w:val="ListNumber"/>
      </w:pPr>
      <w:r>
        <w:t>Integrate Myriad Dashboard pilot.</w:t>
      </w:r>
    </w:p>
    <w:p>
      <w:pPr>
        <w:pStyle w:val="ListNumber"/>
      </w:pPr>
      <w:r>
        <w:t>Integrate PEDL pilot.</w:t>
      </w:r>
    </w:p>
    <w:p>
      <w:pPr>
        <w:pStyle w:val="ListNumber"/>
      </w:pPr>
      <w:r>
        <w:t>Integrate Quest pilot.</w:t>
      </w:r>
    </w:p>
    <w:p>
      <w:pPr>
        <w:pStyle w:val="ListNumber"/>
      </w:pPr>
      <w:r>
        <w:t>Add phase 2 offline sync intake, secret rotation, passwordless, and white-label account linking UX.</w:t>
      </w:r>
    </w:p>
    <w:p>
      <w:pPr>
        <w:pStyle w:val="Heading1"/>
      </w:pPr>
      <w:r>
        <w:t>20. Risks and Mitigations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024"/>
            <w:shd w:fill="1F4E78"/>
            <w:tcMar>
              <w:top w:w="80" w:type="dxa"/>
              <w:start w:w="80" w:type="dxa"/>
              <w:bottom w:w="80" w:type="dxa"/>
              <w:end w:w="80" w:type="dxa"/>
            </w:tcMar>
            <w:vAlign w:val="center"/>
          </w:tcPr>
          <w:p>
            <w:pPr>
              <w:spacing w:after="40"/>
            </w:pPr>
            <w:r>
              <w:rPr>
                <w:b/>
                <w:color w:val="FFFFFF"/>
              </w:rPr>
              <w:t>Risk</w:t>
            </w:r>
          </w:p>
        </w:tc>
        <w:tc>
          <w:tcPr>
            <w:tcW w:type="dxa" w:w="3456"/>
            <w:shd w:fill="1F4E78"/>
            <w:tcMar>
              <w:top w:w="80" w:type="dxa"/>
              <w:start w:w="80" w:type="dxa"/>
              <w:bottom w:w="80" w:type="dxa"/>
              <w:end w:w="80" w:type="dxa"/>
            </w:tcMar>
            <w:vAlign w:val="center"/>
          </w:tcPr>
          <w:p>
            <w:pPr>
              <w:spacing w:after="40"/>
            </w:pPr>
            <w:r>
              <w:rPr>
                <w:b/>
                <w:color w:val="FFFFFF"/>
              </w:rPr>
              <w:t>Impact</w:t>
            </w:r>
          </w:p>
        </w:tc>
        <w:tc>
          <w:tcPr>
            <w:tcW w:type="dxa" w:w="4464"/>
            <w:shd w:fill="1F4E78"/>
            <w:tcMar>
              <w:top w:w="80" w:type="dxa"/>
              <w:start w:w="80" w:type="dxa"/>
              <w:bottom w:w="80" w:type="dxa"/>
              <w:end w:w="80" w:type="dxa"/>
            </w:tcMar>
            <w:vAlign w:val="center"/>
          </w:tcPr>
          <w:p>
            <w:pPr>
              <w:spacing w:after="40"/>
            </w:pPr>
            <w:r>
              <w:rPr>
                <w:b/>
                <w:color w:val="FFFFFF"/>
              </w:rPr>
              <w:t>Mitigation</w:t>
            </w:r>
          </w:p>
        </w:tc>
      </w:tr>
      <w:tr>
        <w:tc>
          <w:tcPr>
            <w:tcW w:type="dxa" w:w="3024"/>
            <w:tcMar>
              <w:top w:w="80" w:type="dxa"/>
              <w:start w:w="80" w:type="dxa"/>
              <w:bottom w:w="80" w:type="dxa"/>
              <w:end w:w="80" w:type="dxa"/>
            </w:tcMar>
            <w:vAlign w:val="top"/>
          </w:tcPr>
          <w:p>
            <w:pPr>
              <w:spacing w:after="40"/>
            </w:pPr>
            <w:r>
              <w:t>Overbuilding identity infrastructure before app traction</w:t>
            </w:r>
          </w:p>
        </w:tc>
        <w:tc>
          <w:tcPr>
            <w:tcW w:type="dxa" w:w="3456"/>
            <w:tcMar>
              <w:top w:w="80" w:type="dxa"/>
              <w:start w:w="80" w:type="dxa"/>
              <w:bottom w:w="80" w:type="dxa"/>
              <w:end w:w="80" w:type="dxa"/>
            </w:tcMar>
            <w:vAlign w:val="top"/>
          </w:tcPr>
          <w:p>
            <w:pPr>
              <w:spacing w:after="40"/>
            </w:pPr>
            <w:r>
              <w:t>Slower product delivery and higher ops burden.</w:t>
            </w:r>
          </w:p>
        </w:tc>
        <w:tc>
          <w:tcPr>
            <w:tcW w:type="dxa" w:w="4464"/>
            <w:tcMar>
              <w:top w:w="80" w:type="dxa"/>
              <w:start w:w="80" w:type="dxa"/>
              <w:bottom w:w="80" w:type="dxa"/>
              <w:end w:w="80" w:type="dxa"/>
            </w:tcMar>
            <w:vAlign w:val="top"/>
          </w:tcPr>
          <w:p>
            <w:pPr>
              <w:spacing w:after="40"/>
            </w:pPr>
            <w:r>
              <w:t>Build thin HEIMDALL Core first; defer enterprise SSO, CJIS, and advanced policies.</w:t>
            </w:r>
          </w:p>
        </w:tc>
      </w:tr>
      <w:tr>
        <w:tc>
          <w:tcPr>
            <w:tcW w:type="dxa" w:w="3024"/>
            <w:tcMar>
              <w:top w:w="80" w:type="dxa"/>
              <w:start w:w="80" w:type="dxa"/>
              <w:bottom w:w="80" w:type="dxa"/>
              <w:end w:w="80" w:type="dxa"/>
            </w:tcMar>
            <w:vAlign w:val="top"/>
          </w:tcPr>
          <w:p>
            <w:pPr>
              <w:spacing w:after="40"/>
            </w:pPr>
            <w:r>
              <w:t>Too many Keycloak realms</w:t>
            </w:r>
          </w:p>
        </w:tc>
        <w:tc>
          <w:tcPr>
            <w:tcW w:type="dxa" w:w="3456"/>
            <w:tcMar>
              <w:top w:w="80" w:type="dxa"/>
              <w:start w:w="80" w:type="dxa"/>
              <w:bottom w:w="80" w:type="dxa"/>
              <w:end w:w="80" w:type="dxa"/>
            </w:tcMar>
            <w:vAlign w:val="top"/>
          </w:tcPr>
          <w:p>
            <w:pPr>
              <w:spacing w:after="40"/>
            </w:pPr>
            <w:r>
              <w:t>Operational complexity and configuration drift.</w:t>
            </w:r>
          </w:p>
        </w:tc>
        <w:tc>
          <w:tcPr>
            <w:tcW w:type="dxa" w:w="4464"/>
            <w:tcMar>
              <w:top w:w="80" w:type="dxa"/>
              <w:start w:w="80" w:type="dxa"/>
              <w:bottom w:w="80" w:type="dxa"/>
              <w:end w:w="80" w:type="dxa"/>
            </w:tcMar>
            <w:vAlign w:val="top"/>
          </w:tcPr>
          <w:p>
            <w:pPr>
              <w:spacing w:after="40"/>
            </w:pPr>
            <w:r>
              <w:t>Use shared realm plus organizations by default; separate realms only by rule.</w:t>
            </w:r>
          </w:p>
        </w:tc>
      </w:tr>
      <w:tr>
        <w:tc>
          <w:tcPr>
            <w:tcW w:type="dxa" w:w="3024"/>
            <w:tcMar>
              <w:top w:w="80" w:type="dxa"/>
              <w:start w:w="80" w:type="dxa"/>
              <w:bottom w:w="80" w:type="dxa"/>
              <w:end w:w="80" w:type="dxa"/>
            </w:tcMar>
            <w:vAlign w:val="top"/>
          </w:tcPr>
          <w:p>
            <w:pPr>
              <w:spacing w:after="40"/>
            </w:pPr>
            <w:r>
              <w:t>Vault operational complexity</w:t>
            </w:r>
          </w:p>
        </w:tc>
        <w:tc>
          <w:tcPr>
            <w:tcW w:type="dxa" w:w="3456"/>
            <w:tcMar>
              <w:top w:w="80" w:type="dxa"/>
              <w:start w:w="80" w:type="dxa"/>
              <w:bottom w:w="80" w:type="dxa"/>
              <w:end w:w="80" w:type="dxa"/>
            </w:tcMar>
            <w:vAlign w:val="top"/>
          </w:tcPr>
          <w:p>
            <w:pPr>
              <w:spacing w:after="40"/>
            </w:pPr>
            <w:r>
              <w:t>Availability and unseal/backup burden.</w:t>
            </w:r>
          </w:p>
        </w:tc>
        <w:tc>
          <w:tcPr>
            <w:tcW w:type="dxa" w:w="4464"/>
            <w:tcMar>
              <w:top w:w="80" w:type="dxa"/>
              <w:start w:w="80" w:type="dxa"/>
              <w:bottom w:w="80" w:type="dxa"/>
              <w:end w:w="80" w:type="dxa"/>
            </w:tcMar>
            <w:vAlign w:val="top"/>
          </w:tcPr>
          <w:p>
            <w:pPr>
              <w:spacing w:after="40"/>
            </w:pPr>
            <w:r>
              <w:t>Start with clear runbooks, limited scope, and provider abstraction; consider managed/HCP later.</w:t>
            </w:r>
          </w:p>
        </w:tc>
      </w:tr>
      <w:tr>
        <w:tc>
          <w:tcPr>
            <w:tcW w:type="dxa" w:w="3024"/>
            <w:tcMar>
              <w:top w:w="80" w:type="dxa"/>
              <w:start w:w="80" w:type="dxa"/>
              <w:bottom w:w="80" w:type="dxa"/>
              <w:end w:w="80" w:type="dxa"/>
            </w:tcMar>
            <w:vAlign w:val="top"/>
          </w:tcPr>
          <w:p>
            <w:pPr>
              <w:spacing w:after="40"/>
            </w:pPr>
            <w:r>
              <w:t>Secret exposure through frontend apps</w:t>
            </w:r>
          </w:p>
        </w:tc>
        <w:tc>
          <w:tcPr>
            <w:tcW w:type="dxa" w:w="3456"/>
            <w:tcMar>
              <w:top w:w="80" w:type="dxa"/>
              <w:start w:w="80" w:type="dxa"/>
              <w:bottom w:w="80" w:type="dxa"/>
              <w:end w:w="80" w:type="dxa"/>
            </w:tcMar>
            <w:vAlign w:val="top"/>
          </w:tcPr>
          <w:p>
            <w:pPr>
              <w:spacing w:after="40"/>
            </w:pPr>
            <w:r>
              <w:t>Credential leak and client compromise.</w:t>
            </w:r>
          </w:p>
        </w:tc>
        <w:tc>
          <w:tcPr>
            <w:tcW w:type="dxa" w:w="4464"/>
            <w:tcMar>
              <w:top w:w="80" w:type="dxa"/>
              <w:start w:w="80" w:type="dxa"/>
              <w:bottom w:w="80" w:type="dxa"/>
              <w:end w:w="80" w:type="dxa"/>
            </w:tcMar>
            <w:vAlign w:val="top"/>
          </w:tcPr>
          <w:p>
            <w:pPr>
              <w:spacing w:after="40"/>
            </w:pPr>
            <w:r>
              <w:t>Never embed sensitive secrets in browser/mobile clients; use backend broker/service accounts.</w:t>
            </w:r>
          </w:p>
        </w:tc>
      </w:tr>
      <w:tr>
        <w:tc>
          <w:tcPr>
            <w:tcW w:type="dxa" w:w="3024"/>
            <w:tcMar>
              <w:top w:w="80" w:type="dxa"/>
              <w:start w:w="80" w:type="dxa"/>
              <w:bottom w:w="80" w:type="dxa"/>
              <w:end w:w="80" w:type="dxa"/>
            </w:tcMar>
            <w:vAlign w:val="top"/>
          </w:tcPr>
          <w:p>
            <w:pPr>
              <w:spacing w:after="40"/>
            </w:pPr>
            <w:r>
              <w:t>Identity merge mistakes</w:t>
            </w:r>
          </w:p>
        </w:tc>
        <w:tc>
          <w:tcPr>
            <w:tcW w:type="dxa" w:w="3456"/>
            <w:tcMar>
              <w:top w:w="80" w:type="dxa"/>
              <w:start w:w="80" w:type="dxa"/>
              <w:bottom w:w="80" w:type="dxa"/>
              <w:end w:w="80" w:type="dxa"/>
            </w:tcMar>
            <w:vAlign w:val="top"/>
          </w:tcPr>
          <w:p>
            <w:pPr>
              <w:spacing w:after="40"/>
            </w:pPr>
            <w:r>
              <w:t>Privacy and account integrity issues.</w:t>
            </w:r>
          </w:p>
        </w:tc>
        <w:tc>
          <w:tcPr>
            <w:tcW w:type="dxa" w:w="4464"/>
            <w:tcMar>
              <w:top w:w="80" w:type="dxa"/>
              <w:start w:w="80" w:type="dxa"/>
              <w:bottom w:w="80" w:type="dxa"/>
              <w:end w:w="80" w:type="dxa"/>
            </w:tcMar>
            <w:vAlign w:val="top"/>
          </w:tcPr>
          <w:p>
            <w:pPr>
              <w:spacing w:after="40"/>
            </w:pPr>
            <w:r>
              <w:t>Require explicit action, verification, reason codes, audit, and possible reversal window.</w:t>
            </w:r>
          </w:p>
        </w:tc>
      </w:tr>
      <w:tr>
        <w:tc>
          <w:tcPr>
            <w:tcW w:type="dxa" w:w="3024"/>
            <w:tcMar>
              <w:top w:w="80" w:type="dxa"/>
              <w:start w:w="80" w:type="dxa"/>
              <w:bottom w:w="80" w:type="dxa"/>
              <w:end w:w="80" w:type="dxa"/>
            </w:tcMar>
            <w:vAlign w:val="top"/>
          </w:tcPr>
          <w:p>
            <w:pPr>
              <w:spacing w:after="40"/>
            </w:pPr>
            <w:r>
              <w:t>Minor consent gaps</w:t>
            </w:r>
          </w:p>
        </w:tc>
        <w:tc>
          <w:tcPr>
            <w:tcW w:type="dxa" w:w="3456"/>
            <w:tcMar>
              <w:top w:w="80" w:type="dxa"/>
              <w:start w:w="80" w:type="dxa"/>
              <w:bottom w:w="80" w:type="dxa"/>
              <w:end w:w="80" w:type="dxa"/>
            </w:tcMar>
            <w:vAlign w:val="top"/>
          </w:tcPr>
          <w:p>
            <w:pPr>
              <w:spacing w:after="40"/>
            </w:pPr>
            <w:r>
              <w:t>Legal and trust exposure.</w:t>
            </w:r>
          </w:p>
        </w:tc>
        <w:tc>
          <w:tcPr>
            <w:tcW w:type="dxa" w:w="4464"/>
            <w:tcMar>
              <w:top w:w="80" w:type="dxa"/>
              <w:start w:w="80" w:type="dxa"/>
              <w:bottom w:w="80" w:type="dxa"/>
              <w:end w:w="80" w:type="dxa"/>
            </w:tcMar>
            <w:vAlign w:val="top"/>
          </w:tcPr>
          <w:p>
            <w:pPr>
              <w:spacing w:after="40"/>
            </w:pPr>
            <w:r>
              <w:t>Implement guardian relationships and consent records in MVP, even if workflows are simple.</w:t>
            </w:r>
          </w:p>
        </w:tc>
      </w:tr>
      <w:tr>
        <w:tc>
          <w:tcPr>
            <w:tcW w:type="dxa" w:w="3024"/>
            <w:tcMar>
              <w:top w:w="80" w:type="dxa"/>
              <w:start w:w="80" w:type="dxa"/>
              <w:bottom w:w="80" w:type="dxa"/>
              <w:end w:w="80" w:type="dxa"/>
            </w:tcMar>
            <w:vAlign w:val="top"/>
          </w:tcPr>
          <w:p>
            <w:pPr>
              <w:spacing w:after="40"/>
            </w:pPr>
            <w:r>
              <w:t>White-label identity confusion</w:t>
            </w:r>
          </w:p>
        </w:tc>
        <w:tc>
          <w:tcPr>
            <w:tcW w:type="dxa" w:w="3456"/>
            <w:tcMar>
              <w:top w:w="80" w:type="dxa"/>
              <w:start w:w="80" w:type="dxa"/>
              <w:bottom w:w="80" w:type="dxa"/>
              <w:end w:w="80" w:type="dxa"/>
            </w:tcMar>
            <w:vAlign w:val="top"/>
          </w:tcPr>
          <w:p>
            <w:pPr>
              <w:spacing w:after="40"/>
            </w:pPr>
            <w:r>
              <w:t>User trust and privacy issues.</w:t>
            </w:r>
          </w:p>
        </w:tc>
        <w:tc>
          <w:tcPr>
            <w:tcW w:type="dxa" w:w="4464"/>
            <w:tcMar>
              <w:top w:w="80" w:type="dxa"/>
              <w:start w:w="80" w:type="dxa"/>
              <w:bottom w:w="80" w:type="dxa"/>
              <w:end w:w="80" w:type="dxa"/>
            </w:tcMar>
            <w:vAlign w:val="top"/>
          </w:tcPr>
          <w:p>
            <w:pPr>
              <w:spacing w:after="40"/>
            </w:pPr>
            <w:r>
              <w:t>Tenant-aware disclosure and future link/unlink notification UX.</w:t>
            </w:r>
          </w:p>
        </w:tc>
      </w:tr>
      <w:tr>
        <w:tc>
          <w:tcPr>
            <w:tcW w:type="dxa" w:w="3024"/>
            <w:tcMar>
              <w:top w:w="80" w:type="dxa"/>
              <w:start w:w="80" w:type="dxa"/>
              <w:bottom w:w="80" w:type="dxa"/>
              <w:end w:w="80" w:type="dxa"/>
            </w:tcMar>
            <w:vAlign w:val="top"/>
          </w:tcPr>
          <w:p>
            <w:pPr>
              <w:spacing w:after="40"/>
            </w:pPr>
            <w:r>
              <w:t>AWS migration friction</w:t>
            </w:r>
          </w:p>
        </w:tc>
        <w:tc>
          <w:tcPr>
            <w:tcW w:type="dxa" w:w="3456"/>
            <w:tcMar>
              <w:top w:w="80" w:type="dxa"/>
              <w:start w:w="80" w:type="dxa"/>
              <w:bottom w:w="80" w:type="dxa"/>
              <w:end w:w="80" w:type="dxa"/>
            </w:tcMar>
            <w:vAlign w:val="top"/>
          </w:tcPr>
          <w:p>
            <w:pPr>
              <w:spacing w:after="40"/>
            </w:pPr>
            <w:r>
              <w:t>Costly refactor later.</w:t>
            </w:r>
          </w:p>
        </w:tc>
        <w:tc>
          <w:tcPr>
            <w:tcW w:type="dxa" w:w="4464"/>
            <w:tcMar>
              <w:top w:w="80" w:type="dxa"/>
              <w:start w:w="80" w:type="dxa"/>
              <w:bottom w:w="80" w:type="dxa"/>
              <w:end w:w="80" w:type="dxa"/>
            </w:tcMar>
            <w:vAlign w:val="top"/>
          </w:tcPr>
          <w:p>
            <w:pPr>
              <w:spacing w:after="40"/>
            </w:pPr>
            <w:r>
              <w:t>Use Postgres portability, containerization, provider interfaces, and event abstraction now.</w:t>
            </w:r>
          </w:p>
        </w:tc>
      </w:tr>
    </w:tbl>
    <w:p/>
    <w:p>
      <w:pPr>
        <w:pStyle w:val="Heading1"/>
      </w:pPr>
      <w:r>
        <w:t>Appendix A: Source Notes</w:t>
      </w:r>
    </w:p>
    <w:p>
      <w:r>
        <w:t>These references support platform capability assumptions used in this document. They should be reviewed again before final vendor commitment or production deployment.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456"/>
            <w:shd w:fill="1F4E78"/>
            <w:tcMar>
              <w:top w:w="80" w:type="dxa"/>
              <w:start w:w="80" w:type="dxa"/>
              <w:bottom w:w="80" w:type="dxa"/>
              <w:end w:w="80" w:type="dxa"/>
            </w:tcMar>
            <w:vAlign w:val="center"/>
          </w:tcPr>
          <w:p>
            <w:pPr>
              <w:spacing w:after="40"/>
            </w:pPr>
            <w:r>
              <w:rPr>
                <w:b/>
                <w:color w:val="FFFFFF"/>
              </w:rPr>
              <w:t>Source</w:t>
            </w:r>
          </w:p>
        </w:tc>
        <w:tc>
          <w:tcPr>
            <w:tcW w:type="dxa" w:w="7488"/>
            <w:shd w:fill="1F4E78"/>
            <w:tcMar>
              <w:top w:w="80" w:type="dxa"/>
              <w:start w:w="80" w:type="dxa"/>
              <w:bottom w:w="80" w:type="dxa"/>
              <w:end w:w="80" w:type="dxa"/>
            </w:tcMar>
            <w:vAlign w:val="center"/>
          </w:tcPr>
          <w:p>
            <w:pPr>
              <w:spacing w:after="40"/>
            </w:pPr>
            <w:r>
              <w:rPr>
                <w:b/>
                <w:color w:val="FFFFFF"/>
              </w:rPr>
              <w:t>Relevant Point</w:t>
            </w:r>
          </w:p>
        </w:tc>
      </w:tr>
      <w:tr>
        <w:tc>
          <w:tcPr>
            <w:tcW w:type="dxa" w:w="3456"/>
            <w:tcMar>
              <w:top w:w="80" w:type="dxa"/>
              <w:start w:w="80" w:type="dxa"/>
              <w:bottom w:w="80" w:type="dxa"/>
              <w:end w:w="80" w:type="dxa"/>
            </w:tcMar>
            <w:vAlign w:val="top"/>
          </w:tcPr>
          <w:p>
            <w:pPr>
              <w:spacing w:after="40"/>
            </w:pPr>
            <w:r>
              <w:t>Keycloak official site</w:t>
            </w:r>
          </w:p>
        </w:tc>
        <w:tc>
          <w:tcPr>
            <w:tcW w:type="dxa" w:w="7488"/>
            <w:tcMar>
              <w:top w:w="80" w:type="dxa"/>
              <w:start w:w="80" w:type="dxa"/>
              <w:bottom w:w="80" w:type="dxa"/>
              <w:end w:w="80" w:type="dxa"/>
            </w:tcMar>
            <w:vAlign w:val="top"/>
          </w:tcPr>
          <w:p>
            <w:pPr>
              <w:spacing w:after="40"/>
            </w:pPr>
            <w:r>
              <w:t>Keycloak supports standard protocols including OpenID Connect, OAuth 2.0, and SAML.</w:t>
            </w:r>
          </w:p>
        </w:tc>
      </w:tr>
      <w:tr>
        <w:tc>
          <w:tcPr>
            <w:tcW w:type="dxa" w:w="3456"/>
            <w:tcMar>
              <w:top w:w="80" w:type="dxa"/>
              <w:start w:w="80" w:type="dxa"/>
              <w:bottom w:w="80" w:type="dxa"/>
              <w:end w:w="80" w:type="dxa"/>
            </w:tcMar>
            <w:vAlign w:val="top"/>
          </w:tcPr>
          <w:p>
            <w:pPr>
              <w:spacing w:after="40"/>
            </w:pPr>
            <w:r>
              <w:t>Keycloak Server Administration Guide</w:t>
            </w:r>
          </w:p>
        </w:tc>
        <w:tc>
          <w:tcPr>
            <w:tcW w:type="dxa" w:w="7488"/>
            <w:tcMar>
              <w:top w:w="80" w:type="dxa"/>
              <w:start w:w="80" w:type="dxa"/>
              <w:bottom w:w="80" w:type="dxa"/>
              <w:end w:w="80" w:type="dxa"/>
            </w:tcMar>
            <w:vAlign w:val="top"/>
          </w:tcPr>
          <w:p>
            <w:pPr>
              <w:spacing w:after="40"/>
            </w:pPr>
            <w:r>
              <w:t>Keycloak supports organizations, groups, OIDC/SAML token mapping, and administration concepts relevant to multi-tenant identity.</w:t>
            </w:r>
          </w:p>
        </w:tc>
      </w:tr>
      <w:tr>
        <w:tc>
          <w:tcPr>
            <w:tcW w:type="dxa" w:w="3456"/>
            <w:tcMar>
              <w:top w:w="80" w:type="dxa"/>
              <w:start w:w="80" w:type="dxa"/>
              <w:bottom w:w="80" w:type="dxa"/>
              <w:end w:w="80" w:type="dxa"/>
            </w:tcMar>
            <w:vAlign w:val="top"/>
          </w:tcPr>
          <w:p>
            <w:pPr>
              <w:spacing w:after="40"/>
            </w:pPr>
            <w:r>
              <w:t>Keycloak OIDC securing apps documentation</w:t>
            </w:r>
          </w:p>
        </w:tc>
        <w:tc>
          <w:tcPr>
            <w:tcW w:type="dxa" w:w="7488"/>
            <w:tcMar>
              <w:top w:w="80" w:type="dxa"/>
              <w:start w:w="80" w:type="dxa"/>
              <w:bottom w:w="80" w:type="dxa"/>
              <w:end w:w="80" w:type="dxa"/>
            </w:tcMar>
            <w:vAlign w:val="top"/>
          </w:tcPr>
          <w:p>
            <w:pPr>
              <w:spacing w:after="40"/>
            </w:pPr>
            <w:r>
              <w:t>Keycloak exposes OIDC endpoints used by applications and services to authenticate and authorize users.</w:t>
            </w:r>
          </w:p>
        </w:tc>
      </w:tr>
      <w:tr>
        <w:tc>
          <w:tcPr>
            <w:tcW w:type="dxa" w:w="3456"/>
            <w:tcMar>
              <w:top w:w="80" w:type="dxa"/>
              <w:start w:w="80" w:type="dxa"/>
              <w:bottom w:w="80" w:type="dxa"/>
              <w:end w:w="80" w:type="dxa"/>
            </w:tcMar>
            <w:vAlign w:val="top"/>
          </w:tcPr>
          <w:p>
            <w:pPr>
              <w:spacing w:after="40"/>
            </w:pPr>
            <w:r>
              <w:t>HashiCorp Vault Transit documentation</w:t>
            </w:r>
          </w:p>
        </w:tc>
        <w:tc>
          <w:tcPr>
            <w:tcW w:type="dxa" w:w="7488"/>
            <w:tcMar>
              <w:top w:w="80" w:type="dxa"/>
              <w:start w:w="80" w:type="dxa"/>
              <w:bottom w:w="80" w:type="dxa"/>
              <w:end w:w="80" w:type="dxa"/>
            </w:tcMar>
            <w:vAlign w:val="top"/>
          </w:tcPr>
          <w:p>
            <w:pPr>
              <w:spacing w:after="40"/>
            </w:pPr>
            <w:r>
              <w:t>Vault Transit provides encryption-as-a-service and does not store the original data sent for cryptographic operations.</w:t>
            </w:r>
          </w:p>
        </w:tc>
      </w:tr>
      <w:tr>
        <w:tc>
          <w:tcPr>
            <w:tcW w:type="dxa" w:w="3456"/>
            <w:tcMar>
              <w:top w:w="80" w:type="dxa"/>
              <w:start w:w="80" w:type="dxa"/>
              <w:bottom w:w="80" w:type="dxa"/>
              <w:end w:w="80" w:type="dxa"/>
            </w:tcMar>
            <w:vAlign w:val="top"/>
          </w:tcPr>
          <w:p>
            <w:pPr>
              <w:spacing w:after="40"/>
            </w:pPr>
            <w:r>
              <w:t>Supabase Edge Functions documentation</w:t>
            </w:r>
          </w:p>
        </w:tc>
        <w:tc>
          <w:tcPr>
            <w:tcW w:type="dxa" w:w="7488"/>
            <w:tcMar>
              <w:top w:w="80" w:type="dxa"/>
              <w:start w:w="80" w:type="dxa"/>
              <w:bottom w:w="80" w:type="dxa"/>
              <w:end w:w="80" w:type="dxa"/>
            </w:tcMar>
            <w:vAlign w:val="top"/>
          </w:tcPr>
          <w:p>
            <w:pPr>
              <w:spacing w:after="40"/>
            </w:pPr>
            <w:r>
              <w:t>Supabase Edge Functions are globally distributed server-side TypeScript functions suitable for webhooks and integrations.</w:t>
            </w:r>
          </w:p>
        </w:tc>
      </w:tr>
      <w:tr>
        <w:tc>
          <w:tcPr>
            <w:tcW w:type="dxa" w:w="3456"/>
            <w:tcMar>
              <w:top w:w="80" w:type="dxa"/>
              <w:start w:w="80" w:type="dxa"/>
              <w:bottom w:w="80" w:type="dxa"/>
              <w:end w:w="80" w:type="dxa"/>
            </w:tcMar>
            <w:vAlign w:val="top"/>
          </w:tcPr>
          <w:p>
            <w:pPr>
              <w:spacing w:after="40"/>
            </w:pPr>
            <w:r>
              <w:t>Supabase documentation overview</w:t>
            </w:r>
          </w:p>
        </w:tc>
        <w:tc>
          <w:tcPr>
            <w:tcW w:type="dxa" w:w="7488"/>
            <w:tcMar>
              <w:top w:w="80" w:type="dxa"/>
              <w:start w:w="80" w:type="dxa"/>
              <w:bottom w:w="80" w:type="dxa"/>
              <w:end w:w="80" w:type="dxa"/>
            </w:tcMar>
            <w:vAlign w:val="top"/>
          </w:tcPr>
          <w:p>
            <w:pPr>
              <w:spacing w:after="40"/>
            </w:pPr>
            <w:r>
              <w:t>Supabase Realtime supports database changes, client state sync, and broadcast messaging patterns.</w:t>
            </w:r>
          </w:p>
        </w:tc>
      </w:tr>
      <w:tr>
        <w:tc>
          <w:tcPr>
            <w:tcW w:type="dxa" w:w="3456"/>
            <w:tcMar>
              <w:top w:w="80" w:type="dxa"/>
              <w:start w:w="80" w:type="dxa"/>
              <w:bottom w:w="80" w:type="dxa"/>
              <w:end w:w="80" w:type="dxa"/>
            </w:tcMar>
            <w:vAlign w:val="top"/>
          </w:tcPr>
          <w:p>
            <w:pPr>
              <w:spacing w:after="40"/>
            </w:pPr>
            <w:r>
              <w:t>Vercel Functions documentation</w:t>
            </w:r>
          </w:p>
        </w:tc>
        <w:tc>
          <w:tcPr>
            <w:tcW w:type="dxa" w:w="7488"/>
            <w:tcMar>
              <w:top w:w="80" w:type="dxa"/>
              <w:start w:w="80" w:type="dxa"/>
              <w:bottom w:w="80" w:type="dxa"/>
              <w:end w:w="80" w:type="dxa"/>
            </w:tcMar>
            <w:vAlign w:val="top"/>
          </w:tcPr>
          <w:p>
            <w:pPr>
              <w:spacing w:after="40"/>
            </w:pPr>
            <w:r>
              <w:t>Vercel Functions are priced by active CPU, memory, and invocations and support serverless API workloads.</w:t>
            </w:r>
          </w:p>
        </w:tc>
      </w:tr>
    </w:tbl>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HEIMDALL Final Requirements and Design | Myriad Technology Group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6609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