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71E873FB"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 xml:space="preserve">Wine quality depends on various factors, and identifying the crucial variables that contribute to it is </w:t>
      </w:r>
      <w:r w:rsidR="00EA54DF">
        <w:rPr>
          <w:rFonts w:ascii="Times New Roman" w:hAnsi="Times New Roman" w:cs="Times New Roman"/>
        </w:rPr>
        <w:t>critical</w:t>
      </w:r>
      <w:r w:rsidRPr="003119DD">
        <w:rPr>
          <w:rFonts w:ascii="Times New Roman" w:hAnsi="Times New Roman" w:cs="Times New Roman"/>
        </w:rPr>
        <w:t xml:space="preserve">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0E24A31" w14:textId="24450AA7" w:rsidR="008E03D2" w:rsidRDefault="009E55CF" w:rsidP="008E03D2">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9EB69C2" w14:textId="77777777" w:rsidR="008E03D2" w:rsidRDefault="008E03D2" w:rsidP="008E03D2">
      <w:pPr>
        <w:spacing w:line="360" w:lineRule="auto"/>
        <w:ind w:firstLine="720"/>
        <w:rPr>
          <w:rFonts w:ascii="Times New Roman" w:hAnsi="Times New Roman" w:cs="Times New Roman"/>
        </w:rPr>
      </w:pPr>
    </w:p>
    <w:p w14:paraId="5DC0070E" w14:textId="4394B7D4" w:rsidR="008E03D2" w:rsidRDefault="008E03D2" w:rsidP="008E03D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Exploratory Data Analysis</w:t>
      </w:r>
    </w:p>
    <w:p w14:paraId="72D60200" w14:textId="77777777" w:rsidR="00EA54DF" w:rsidRDefault="002B46CA" w:rsidP="00EA54DF">
      <w:pPr>
        <w:spacing w:line="360" w:lineRule="auto"/>
        <w:ind w:firstLine="720"/>
        <w:rPr>
          <w:rFonts w:ascii="Times New Roman" w:hAnsi="Times New Roman" w:cs="Times New Roman"/>
        </w:rPr>
      </w:pPr>
      <w:r>
        <w:rPr>
          <w:rFonts w:ascii="Times New Roman" w:hAnsi="Times New Roman" w:cs="Times New Roman"/>
        </w:rPr>
        <w:t xml:space="preserve">Before we can perform regression or classification analysis on our datasets, we must first understand the data. Beginning with the white wine dataset, there are 4898 observations and 12 features. There are no null values in any of the observations. </w:t>
      </w:r>
      <w:r w:rsidR="00EA54DF">
        <w:rPr>
          <w:rFonts w:ascii="Times New Roman" w:hAnsi="Times New Roman" w:cs="Times New Roman"/>
        </w:rPr>
        <w:t xml:space="preserve">Every feature except the dependent variable, quality, is of type float64, and quality is of type int64. </w:t>
      </w:r>
    </w:p>
    <w:p w14:paraId="4555DDC6" w14:textId="77777777" w:rsidR="00381E4F" w:rsidRDefault="00EA54DF" w:rsidP="00381E4F">
      <w:pPr>
        <w:keepNext/>
        <w:spacing w:line="360" w:lineRule="auto"/>
        <w:ind w:firstLine="720"/>
        <w:jc w:val="center"/>
      </w:pPr>
      <w:r w:rsidRPr="00EA54DF">
        <w:rPr>
          <w:rFonts w:ascii="Times New Roman" w:hAnsi="Times New Roman" w:cs="Times New Roman"/>
          <w:noProof/>
        </w:rPr>
        <w:drawing>
          <wp:inline distT="0" distB="0" distL="0" distR="0" wp14:anchorId="3E0CDA5E" wp14:editId="64760F1C">
            <wp:extent cx="2914650" cy="2178371"/>
            <wp:effectExtent l="0" t="0" r="0" b="0"/>
            <wp:docPr id="164540835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352" name="Picture 1" descr="Chart, bar chart&#10;&#10;Description automatically generated"/>
                    <pic:cNvPicPr/>
                  </pic:nvPicPr>
                  <pic:blipFill>
                    <a:blip r:embed="rId4"/>
                    <a:stretch>
                      <a:fillRect/>
                    </a:stretch>
                  </pic:blipFill>
                  <pic:spPr>
                    <a:xfrm>
                      <a:off x="0" y="0"/>
                      <a:ext cx="2920407" cy="2182674"/>
                    </a:xfrm>
                    <a:prstGeom prst="rect">
                      <a:avLst/>
                    </a:prstGeom>
                  </pic:spPr>
                </pic:pic>
              </a:graphicData>
            </a:graphic>
          </wp:inline>
        </w:drawing>
      </w:r>
    </w:p>
    <w:p w14:paraId="2ADB7E73" w14:textId="5ED52C86" w:rsidR="008E03D2" w:rsidRDefault="00381E4F" w:rsidP="00381E4F">
      <w:pPr>
        <w:pStyle w:val="Caption"/>
        <w:jc w:val="center"/>
        <w:rPr>
          <w:rFonts w:ascii="Times New Roman" w:hAnsi="Times New Roman" w:cs="Times New Roman"/>
        </w:rPr>
      </w:pPr>
      <w:r>
        <w:t xml:space="preserve">Figure </w:t>
      </w:r>
      <w:fldSimple w:instr=" SEQ Figure \* ARABIC ">
        <w:r>
          <w:rPr>
            <w:noProof/>
          </w:rPr>
          <w:t>1</w:t>
        </w:r>
      </w:fldSimple>
      <w:r>
        <w:t>: White Wine, quality vs. count</w:t>
      </w:r>
    </w:p>
    <w:p w14:paraId="368B7C91" w14:textId="311A3EE7"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white wine only ranges from 3-9, so there are no observations for white wine of quality 1, 2, or 10. The data is not balanced but the quality to count chart shows a distribution similar to normal, with more data points focused near the center. This could cause a problem since the quality variable is supposed to range from 1-10, so our models won’t have any training data to judge new wine added to the dataset of very high or very low quality. There is a strong positive correlation between residual sugar and density, and a strong negative correlation between alcohol and density. </w:t>
      </w:r>
    </w:p>
    <w:p w14:paraId="597353D1" w14:textId="466A21F2"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lastRenderedPageBreak/>
        <w:t xml:space="preserve">For the red wine dataset, there are 1599 observations and 12 features. Once again, there are no null values in any of the observations, and </w:t>
      </w:r>
      <w:r w:rsidR="00381E4F">
        <w:rPr>
          <w:rFonts w:ascii="Times New Roman" w:hAnsi="Times New Roman" w:cs="Times New Roman"/>
        </w:rPr>
        <w:t>all</w:t>
      </w:r>
      <w:r>
        <w:rPr>
          <w:rFonts w:ascii="Times New Roman" w:hAnsi="Times New Roman" w:cs="Times New Roman"/>
        </w:rPr>
        <w:t xml:space="preserve"> the features </w:t>
      </w:r>
      <w:r w:rsidR="00381E4F">
        <w:rPr>
          <w:rFonts w:ascii="Times New Roman" w:hAnsi="Times New Roman" w:cs="Times New Roman"/>
        </w:rPr>
        <w:t xml:space="preserve">are the same as the white wine dataset. </w:t>
      </w:r>
    </w:p>
    <w:p w14:paraId="4C42704C" w14:textId="77777777" w:rsidR="00381E4F" w:rsidRDefault="00381E4F" w:rsidP="00381E4F">
      <w:pPr>
        <w:keepNext/>
        <w:spacing w:line="360" w:lineRule="auto"/>
        <w:ind w:firstLine="720"/>
        <w:jc w:val="center"/>
      </w:pPr>
      <w:r w:rsidRPr="00381E4F">
        <w:rPr>
          <w:rFonts w:ascii="Times New Roman" w:hAnsi="Times New Roman" w:cs="Times New Roman"/>
          <w:noProof/>
        </w:rPr>
        <w:drawing>
          <wp:inline distT="0" distB="0" distL="0" distR="0" wp14:anchorId="6A922A2F" wp14:editId="1A1DD87E">
            <wp:extent cx="3122950" cy="2381250"/>
            <wp:effectExtent l="0" t="0" r="1270" b="0"/>
            <wp:docPr id="14555135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538" name="Picture 1" descr="Chart, bar chart&#10;&#10;Description automatically generated"/>
                    <pic:cNvPicPr/>
                  </pic:nvPicPr>
                  <pic:blipFill>
                    <a:blip r:embed="rId5"/>
                    <a:stretch>
                      <a:fillRect/>
                    </a:stretch>
                  </pic:blipFill>
                  <pic:spPr>
                    <a:xfrm>
                      <a:off x="0" y="0"/>
                      <a:ext cx="3125918" cy="2383513"/>
                    </a:xfrm>
                    <a:prstGeom prst="rect">
                      <a:avLst/>
                    </a:prstGeom>
                  </pic:spPr>
                </pic:pic>
              </a:graphicData>
            </a:graphic>
          </wp:inline>
        </w:drawing>
      </w:r>
    </w:p>
    <w:p w14:paraId="4D8A8FA0" w14:textId="0DE8CEE9" w:rsidR="00381E4F" w:rsidRDefault="00381E4F" w:rsidP="00381E4F">
      <w:pPr>
        <w:pStyle w:val="Caption"/>
        <w:jc w:val="center"/>
        <w:rPr>
          <w:rFonts w:ascii="Times New Roman" w:hAnsi="Times New Roman" w:cs="Times New Roman"/>
        </w:rPr>
      </w:pPr>
      <w:r>
        <w:t xml:space="preserve">Figure </w:t>
      </w:r>
      <w:fldSimple w:instr=" SEQ Figure \* ARABIC ">
        <w:r>
          <w:rPr>
            <w:noProof/>
          </w:rPr>
          <w:t>2</w:t>
        </w:r>
      </w:fldSimple>
      <w:r>
        <w:t>: Red wine, quality vs. count</w:t>
      </w:r>
    </w:p>
    <w:p w14:paraId="5D3D3CCF" w14:textId="059C623A" w:rsidR="00381E4F" w:rsidRDefault="00381E4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red wine only ranges from 3-8. Just like white wine, there are no observations for red wine of quality 1, 2, or 10, but red wine is also lacking any data for quality of 9. The distribution of quality in the red wine dataset does not follow normal distribution as well as the white wine dataset does but is still loosely followed. Again, like the white wine, the lack of balancing in the dataset will likely cause problems for the models if new wines are added of very high or very low quality. There are no strong positive or negative correlations between any of the features of the red wine dataset. </w:t>
      </w:r>
    </w:p>
    <w:p w14:paraId="3928C858" w14:textId="77777777" w:rsidR="008E03D2" w:rsidRDefault="008E03D2" w:rsidP="004F7B74">
      <w:pPr>
        <w:spacing w:line="360" w:lineRule="auto"/>
        <w:ind w:firstLine="720"/>
        <w:rPr>
          <w:rFonts w:ascii="Times New Roman" w:hAnsi="Times New Roman" w:cs="Times New Roman"/>
        </w:rPr>
      </w:pP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12BB5F50" w14:textId="77777777" w:rsidR="008E03D2" w:rsidRDefault="008E03D2" w:rsidP="004F7B74">
      <w:pPr>
        <w:spacing w:line="360" w:lineRule="auto"/>
        <w:rPr>
          <w:rFonts w:ascii="Times New Roman" w:hAnsi="Times New Roman" w:cs="Times New Roman"/>
        </w:rPr>
      </w:pP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29E47B50" w14:textId="1CC522AB" w:rsidR="00000965" w:rsidRDefault="004F7B74" w:rsidP="008E03D2">
      <w:pPr>
        <w:spacing w:line="360" w:lineRule="auto"/>
        <w:ind w:firstLine="720"/>
        <w:rPr>
          <w:rFonts w:ascii="Times New Roman" w:hAnsi="Times New Roman" w:cs="Times New Roman"/>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r w:rsidR="008E03D2">
        <w:rPr>
          <w:rFonts w:ascii="Times New Roman" w:hAnsi="Times New Roman" w:cs="Times New Roman"/>
        </w:rPr>
        <w:t>.</w:t>
      </w:r>
    </w:p>
    <w:p w14:paraId="50EFBF6A" w14:textId="77777777" w:rsidR="00166850" w:rsidRDefault="00166850" w:rsidP="00166850">
      <w:pPr>
        <w:spacing w:line="360" w:lineRule="auto"/>
        <w:rPr>
          <w:rFonts w:ascii="Times New Roman" w:hAnsi="Times New Roman" w:cs="Times New Roman"/>
        </w:rPr>
      </w:pPr>
    </w:p>
    <w:p w14:paraId="188F3454" w14:textId="1660BE5A" w:rsidR="00166850" w:rsidRDefault="00166850" w:rsidP="00166850">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Classification Methods</w:t>
      </w:r>
    </w:p>
    <w:tbl>
      <w:tblPr>
        <w:tblStyle w:val="TableGrid"/>
        <w:tblW w:w="0" w:type="auto"/>
        <w:tblLook w:val="04A0" w:firstRow="1" w:lastRow="0" w:firstColumn="1" w:lastColumn="0" w:noHBand="0" w:noVBand="1"/>
      </w:tblPr>
      <w:tblGrid>
        <w:gridCol w:w="4675"/>
        <w:gridCol w:w="4675"/>
      </w:tblGrid>
      <w:tr w:rsidR="00F764AF" w14:paraId="7EABD8CC" w14:textId="77777777" w:rsidTr="00F764AF">
        <w:tc>
          <w:tcPr>
            <w:tcW w:w="4675" w:type="dxa"/>
          </w:tcPr>
          <w:p w14:paraId="3FB6A135" w14:textId="7C4649B0"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2F85DA0D" wp14:editId="3D0AFAF7">
                  <wp:extent cx="2743200" cy="2743200"/>
                  <wp:effectExtent l="0" t="0" r="0" b="0"/>
                  <wp:docPr id="2" name="Chart 2">
                    <a:extLst xmlns:a="http://schemas.openxmlformats.org/drawingml/2006/main">
                      <a:ext uri="{FF2B5EF4-FFF2-40B4-BE49-F238E27FC236}">
                        <a16:creationId xmlns:a16="http://schemas.microsoft.com/office/drawing/2014/main" id="{5D0CF3DD-6C52-3ECD-355F-CE2EB5A4D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75" w:type="dxa"/>
          </w:tcPr>
          <w:p w14:paraId="5C5331D6" w14:textId="65D35457"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775788B6" wp14:editId="742498AA">
                  <wp:extent cx="2743200" cy="2743200"/>
                  <wp:effectExtent l="0" t="0" r="0" b="0"/>
                  <wp:docPr id="5" name="Chart 5">
                    <a:extLst xmlns:a="http://schemas.openxmlformats.org/drawingml/2006/main">
                      <a:ext uri="{FF2B5EF4-FFF2-40B4-BE49-F238E27FC236}">
                        <a16:creationId xmlns:a16="http://schemas.microsoft.com/office/drawing/2014/main" id="{FCDF42F7-D1EE-5A55-4DBA-F08215C47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F764AF" w14:paraId="20B9F5B4" w14:textId="77777777" w:rsidTr="00F764AF">
        <w:tc>
          <w:tcPr>
            <w:tcW w:w="4675" w:type="dxa"/>
          </w:tcPr>
          <w:p w14:paraId="21A90631" w14:textId="34EF9973" w:rsidR="00F764AF" w:rsidRDefault="00F764AF" w:rsidP="00166850">
            <w:pPr>
              <w:spacing w:line="360" w:lineRule="auto"/>
              <w:jc w:val="center"/>
              <w:rPr>
                <w:rFonts w:ascii="Times New Roman" w:hAnsi="Times New Roman" w:cs="Times New Roman"/>
                <w:sz w:val="28"/>
                <w:szCs w:val="28"/>
                <w:u w:val="single"/>
              </w:rPr>
            </w:pPr>
            <w:r>
              <w:rPr>
                <w:noProof/>
              </w:rPr>
              <w:lastRenderedPageBreak/>
              <w:drawing>
                <wp:inline distT="0" distB="0" distL="0" distR="0" wp14:anchorId="66DE9F13" wp14:editId="058994FE">
                  <wp:extent cx="2743200" cy="2743200"/>
                  <wp:effectExtent l="0" t="0" r="0" b="0"/>
                  <wp:docPr id="4" name="Chart 4">
                    <a:extLst xmlns:a="http://schemas.openxmlformats.org/drawingml/2006/main">
                      <a:ext uri="{FF2B5EF4-FFF2-40B4-BE49-F238E27FC236}">
                        <a16:creationId xmlns:a16="http://schemas.microsoft.com/office/drawing/2014/main" id="{686800CE-4535-BDD8-FD98-4370778C0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75" w:type="dxa"/>
          </w:tcPr>
          <w:p w14:paraId="6C5F57D8" w14:textId="0B9A00F0" w:rsidR="00F764AF" w:rsidRDefault="00F764AF" w:rsidP="00166850">
            <w:pPr>
              <w:spacing w:line="360" w:lineRule="auto"/>
              <w:jc w:val="center"/>
              <w:rPr>
                <w:rFonts w:ascii="Times New Roman" w:hAnsi="Times New Roman" w:cs="Times New Roman"/>
                <w:sz w:val="28"/>
                <w:szCs w:val="28"/>
                <w:u w:val="single"/>
              </w:rPr>
            </w:pPr>
            <w:r>
              <w:rPr>
                <w:noProof/>
              </w:rPr>
              <w:drawing>
                <wp:inline distT="0" distB="0" distL="0" distR="0" wp14:anchorId="2E22BA06" wp14:editId="054752EC">
                  <wp:extent cx="2743200" cy="2743200"/>
                  <wp:effectExtent l="0" t="0" r="0" b="0"/>
                  <wp:docPr id="3" name="Chart 3">
                    <a:extLst xmlns:a="http://schemas.openxmlformats.org/drawingml/2006/main">
                      <a:ext uri="{FF2B5EF4-FFF2-40B4-BE49-F238E27FC236}">
                        <a16:creationId xmlns:a16="http://schemas.microsoft.com/office/drawing/2014/main" id="{C9C1F6D1-AEB8-0960-D0CE-C51BD95C4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72525AF" w14:textId="77777777" w:rsidR="00F764AF" w:rsidRDefault="00F764AF" w:rsidP="00166850">
      <w:pPr>
        <w:spacing w:line="360" w:lineRule="auto"/>
        <w:jc w:val="center"/>
        <w:rPr>
          <w:rFonts w:ascii="Times New Roman" w:hAnsi="Times New Roman" w:cs="Times New Roman"/>
          <w:sz w:val="28"/>
          <w:szCs w:val="28"/>
          <w:u w:val="single"/>
        </w:rPr>
      </w:pPr>
    </w:p>
    <w:p w14:paraId="5043B7D1" w14:textId="77777777" w:rsidR="00166850" w:rsidRPr="008E03D2" w:rsidRDefault="00166850" w:rsidP="008E03D2">
      <w:pPr>
        <w:spacing w:line="360" w:lineRule="auto"/>
        <w:ind w:firstLine="720"/>
        <w:rPr>
          <w:rFonts w:ascii="Times New Roman" w:hAnsi="Times New Roman" w:cs="Times New Roman"/>
          <w:sz w:val="28"/>
          <w:szCs w:val="28"/>
        </w:rPr>
      </w:pPr>
    </w:p>
    <w:p w14:paraId="4722CA8D" w14:textId="0026999A" w:rsidR="007B0242" w:rsidRDefault="007B0242">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7DF8821F" w14:textId="1F558DE5" w:rsidR="00F764AF" w:rsidRDefault="00F764AF">
      <w:pPr>
        <w:rPr>
          <w:rFonts w:ascii="Times New Roman" w:hAnsi="Times New Roman" w:cs="Times New Roman"/>
          <w:sz w:val="28"/>
          <w:szCs w:val="28"/>
          <w:u w:val="single"/>
        </w:rPr>
      </w:pPr>
    </w:p>
    <w:p w14:paraId="72EE1B3E" w14:textId="77777777" w:rsidR="00F764AF" w:rsidRDefault="00F764AF">
      <w:pPr>
        <w:rPr>
          <w:rFonts w:ascii="Times New Roman" w:hAnsi="Times New Roman" w:cs="Times New Roman"/>
          <w:sz w:val="28"/>
          <w:szCs w:val="28"/>
          <w:u w:val="single"/>
        </w:rPr>
      </w:pPr>
    </w:p>
    <w:p w14:paraId="493FF63D" w14:textId="77777777" w:rsidR="00F764AF" w:rsidRDefault="00F764AF">
      <w:pPr>
        <w:rPr>
          <w:rFonts w:ascii="Times New Roman" w:hAnsi="Times New Roman" w:cs="Times New Roman"/>
          <w:sz w:val="28"/>
          <w:szCs w:val="28"/>
          <w:u w:val="single"/>
        </w:rPr>
      </w:pPr>
    </w:p>
    <w:p w14:paraId="4AD7E1E4" w14:textId="461C4F8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Conclusions</w:t>
      </w:r>
    </w:p>
    <w:p w14:paraId="72D94966" w14:textId="44703E5C" w:rsidR="006E2CF9" w:rsidRDefault="00166850" w:rsidP="00166850">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Our analysis of the data showed that we can predict the quality of the wine datasets with reasonable accuracy. While it is difficult to get the result exactly correct, we were able to reliably predict the quality of upwards of 90% of the wine data within one point of the true quality. </w:t>
      </w:r>
    </w:p>
    <w:p w14:paraId="40FCE21F" w14:textId="28D5B245" w:rsidR="00166850" w:rsidRDefault="00166850" w:rsidP="00166850">
      <w:pPr>
        <w:spacing w:line="360" w:lineRule="auto"/>
        <w:rPr>
          <w:rFonts w:ascii="Times New Roman" w:hAnsi="Times New Roman" w:cs="Times New Roman"/>
        </w:rPr>
      </w:pPr>
      <w:r>
        <w:rPr>
          <w:rFonts w:ascii="Times New Roman" w:hAnsi="Times New Roman" w:cs="Times New Roman"/>
        </w:rPr>
        <w:tab/>
        <w:t>We also were able to learn about the factors of the wines that contribute the most to determining quality. These factors were different for red and white wine, which we did not initially expect.</w:t>
      </w:r>
    </w:p>
    <w:p w14:paraId="04CF54E4" w14:textId="5DD8F018" w:rsidR="00166850" w:rsidRPr="00166850" w:rsidRDefault="00166850" w:rsidP="00166850">
      <w:pPr>
        <w:spacing w:line="360" w:lineRule="auto"/>
        <w:rPr>
          <w:rFonts w:ascii="Times New Roman" w:hAnsi="Times New Roman" w:cs="Times New Roman"/>
        </w:rPr>
      </w:pPr>
      <w:r>
        <w:rPr>
          <w:rFonts w:ascii="Times New Roman" w:hAnsi="Times New Roman" w:cs="Times New Roman"/>
        </w:rPr>
        <w:tab/>
        <w:t>Possible areas of continuing this research moving forward could be trying different types of classification, including breaking down the quality results into fewer categories. This may allow us to make more accurate predictions by minimizing the amount of possible result categories. Another potential area of improvement could be data balancing. Either by oversampling or undersampling, we could try to get our models to more accurately recognize the minority classes of quality.</w:t>
      </w:r>
    </w:p>
    <w:p w14:paraId="360E8796" w14:textId="77777777" w:rsidR="006E2CF9" w:rsidRDefault="006E2CF9" w:rsidP="00C51263">
      <w:pPr>
        <w:spacing w:line="360" w:lineRule="auto"/>
        <w:jc w:val="center"/>
        <w:rPr>
          <w:rFonts w:ascii="Times New Roman" w:hAnsi="Times New Roman" w:cs="Times New Roman"/>
          <w:sz w:val="28"/>
          <w:szCs w:val="28"/>
          <w:u w:val="single"/>
        </w:rPr>
      </w:pPr>
    </w:p>
    <w:p w14:paraId="77517C97" w14:textId="530214F9" w:rsidR="006E2CF9" w:rsidRPr="006E2CF9" w:rsidRDefault="006E2CF9" w:rsidP="006E2CF9">
      <w:pPr>
        <w:spacing w:line="360" w:lineRule="auto"/>
        <w:jc w:val="center"/>
        <w:rPr>
          <w:rFonts w:ascii="Times New Roman" w:hAnsi="Times New Roman" w:cs="Times New Roman"/>
          <w:u w:val="single"/>
        </w:rPr>
      </w:pPr>
      <w:r w:rsidRPr="006E2CF9">
        <w:rPr>
          <w:rFonts w:ascii="Times New Roman" w:hAnsi="Times New Roman" w:cs="Times New Roman"/>
          <w:u w:val="single"/>
        </w:rPr>
        <w:t>Lessons Learned</w:t>
      </w:r>
    </w:p>
    <w:p w14:paraId="2319854D" w14:textId="29DFC7AA" w:rsidR="00BF222E" w:rsidRDefault="006E2CF9" w:rsidP="006E2CF9">
      <w:pPr>
        <w:spacing w:line="360" w:lineRule="auto"/>
        <w:rPr>
          <w:rFonts w:ascii="Times New Roman" w:hAnsi="Times New Roman" w:cs="Times New Roman"/>
        </w:rPr>
      </w:pPr>
      <w:r>
        <w:rPr>
          <w:rFonts w:ascii="Times New Roman" w:hAnsi="Times New Roman" w:cs="Times New Roman"/>
        </w:rPr>
        <w:tab/>
        <w:t xml:space="preserve">We all learned a lot throughout the project and class as a whole. During the project, the primary topic of focus was teamwork. We did a very good job of delegating different sections of each assignment to every person. This allowed us to work independently from each other towards the same goal, which was crucial to getting this project done, but also limited </w:t>
      </w:r>
      <w:r w:rsidR="00BF222E">
        <w:rPr>
          <w:rFonts w:ascii="Times New Roman" w:hAnsi="Times New Roman" w:cs="Times New Roman"/>
        </w:rPr>
        <w:t>us from being a part of every section. Also, there were creative differences that commonly had to be discussed and overcome.</w:t>
      </w:r>
    </w:p>
    <w:p w14:paraId="34E3E914" w14:textId="5410EA8A" w:rsidR="00BF222E" w:rsidRPr="006E2CF9" w:rsidRDefault="00BF222E" w:rsidP="006E2CF9">
      <w:pPr>
        <w:spacing w:line="360" w:lineRule="auto"/>
        <w:rPr>
          <w:rFonts w:ascii="Times New Roman" w:hAnsi="Times New Roman" w:cs="Times New Roman"/>
        </w:rPr>
      </w:pPr>
      <w:r>
        <w:rPr>
          <w:rFonts w:ascii="Times New Roman" w:hAnsi="Times New Roman" w:cs="Times New Roman"/>
        </w:rPr>
        <w:tab/>
        <w:t xml:space="preserve">In terms of the class, the lessons we learned revolved more around critical thinking. In most classes, the solution to whatever problem we are trying to solve has a predefined solution. In data mining, there’s more room for creative freedom and subjectivity in results. We think this training in more complex problems with undefined definitive solutions is key to the class and should be maintained for future semesters. </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0C526925" w14:textId="3EB076CD"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32647605" w14:textId="03BCB25E" w:rsidR="00000965" w:rsidRDefault="00000000" w:rsidP="00C51263">
      <w:pPr>
        <w:spacing w:line="360" w:lineRule="auto"/>
        <w:rPr>
          <w:rFonts w:ascii="Times New Roman" w:hAnsi="Times New Roman" w:cs="Times New Roman"/>
        </w:rPr>
      </w:pPr>
      <w:hyperlink r:id="rId14" w:history="1">
        <w:r w:rsidR="008E03D2" w:rsidRPr="00D26053">
          <w:rPr>
            <w:rStyle w:val="Hyperlink"/>
            <w:rFonts w:ascii="Times New Roman" w:hAnsi="Times New Roman" w:cs="Times New Roman"/>
          </w:rPr>
          <w:t>https://archive.ics.uci.edu/ml/datasets/Wine+Quality</w:t>
        </w:r>
      </w:hyperlink>
    </w:p>
    <w:p w14:paraId="071954B7" w14:textId="77777777" w:rsidR="008E03D2" w:rsidRPr="00000965" w:rsidRDefault="008E03D2" w:rsidP="00C51263">
      <w:pPr>
        <w:spacing w:line="360" w:lineRule="auto"/>
        <w:rPr>
          <w:rFonts w:ascii="Times New Roman" w:hAnsi="Times New Roman" w:cs="Times New Roman"/>
          <w:sz w:val="28"/>
          <w:szCs w:val="28"/>
          <w:u w:val="single"/>
        </w:rPr>
      </w:pPr>
    </w:p>
    <w:p w14:paraId="1537ABDC" w14:textId="6A7D2246"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120972"/>
    <w:rsid w:val="00166850"/>
    <w:rsid w:val="002425F2"/>
    <w:rsid w:val="002A0349"/>
    <w:rsid w:val="002B46CA"/>
    <w:rsid w:val="003119DD"/>
    <w:rsid w:val="00381E4F"/>
    <w:rsid w:val="003A4C3C"/>
    <w:rsid w:val="004F7B74"/>
    <w:rsid w:val="006509C9"/>
    <w:rsid w:val="006E2CF9"/>
    <w:rsid w:val="007B0242"/>
    <w:rsid w:val="007C79C3"/>
    <w:rsid w:val="00846874"/>
    <w:rsid w:val="008E03D2"/>
    <w:rsid w:val="009E55CF"/>
    <w:rsid w:val="009F6302"/>
    <w:rsid w:val="00BF222E"/>
    <w:rsid w:val="00C51263"/>
    <w:rsid w:val="00D369DB"/>
    <w:rsid w:val="00EA031C"/>
    <w:rsid w:val="00EA54DF"/>
    <w:rsid w:val="00F7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3D2"/>
    <w:rPr>
      <w:color w:val="0563C1" w:themeColor="hyperlink"/>
      <w:u w:val="single"/>
    </w:rPr>
  </w:style>
  <w:style w:type="character" w:styleId="UnresolvedMention">
    <w:name w:val="Unresolved Mention"/>
    <w:basedOn w:val="DefaultParagraphFont"/>
    <w:uiPriority w:val="99"/>
    <w:semiHidden/>
    <w:unhideWhenUsed/>
    <w:rsid w:val="008E03D2"/>
    <w:rPr>
      <w:color w:val="605E5C"/>
      <w:shd w:val="clear" w:color="auto" w:fill="E1DFDD"/>
    </w:rPr>
  </w:style>
  <w:style w:type="paragraph" w:styleId="Caption">
    <w:name w:val="caption"/>
    <w:basedOn w:val="Normal"/>
    <w:next w:val="Normal"/>
    <w:uiPriority w:val="35"/>
    <w:unhideWhenUsed/>
    <w:qFormat/>
    <w:rsid w:val="00381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hyperlink" Target="https://archive.ics.uci.edu/ml/datasets/Wine+Qual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KNN Classification</a:t>
            </a:r>
          </a:p>
        </c:rich>
      </c:tx>
      <c:layout>
        <c:manualLayout>
          <c:xMode val="edge"/>
          <c:yMode val="edge"/>
          <c:x val="7.7268518518518514E-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64078448527269"/>
          <c:y val="0.3192563429571304"/>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BC-4C2F-8BFF-13103E8632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BC-4C2F-8BFF-13103E8632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BC-4C2F-8BFF-13103E8632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BC-4C2F-8BFF-13103E8632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BC-4C2F-8BFF-13103E863226}"/>
              </c:ext>
            </c:extLst>
          </c:dPt>
          <c:dLbls>
            <c:dLbl>
              <c:idx val="2"/>
              <c:layout>
                <c:manualLayout>
                  <c:x val="-8.3333333333333329E-2"/>
                  <c:y val="9.2592592592592587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4BC-4C2F-8BFF-13103E863226}"/>
                </c:ext>
              </c:extLst>
            </c:dLbl>
            <c:dLbl>
              <c:idx val="3"/>
              <c:layout>
                <c:manualLayout>
                  <c:x val="-5.5555555555555558E-3"/>
                  <c:y val="-6.944444444444446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4BC-4C2F-8BFF-13103E863226}"/>
                </c:ext>
              </c:extLst>
            </c:dLbl>
            <c:dLbl>
              <c:idx val="4"/>
              <c:layout>
                <c:manualLayout>
                  <c:x val="0.19537037037037036"/>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4BC-4C2F-8BFF-13103E86322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Sheet1!$B$48:$B$52</c:f>
              <c:strCache>
                <c:ptCount val="5"/>
                <c:pt idx="0">
                  <c:v>Correct</c:v>
                </c:pt>
                <c:pt idx="1">
                  <c:v>Off by 1</c:v>
                </c:pt>
                <c:pt idx="2">
                  <c:v>Off by 2</c:v>
                </c:pt>
                <c:pt idx="3">
                  <c:v>Off by 3</c:v>
                </c:pt>
                <c:pt idx="4">
                  <c:v>Off by 4</c:v>
                </c:pt>
              </c:strCache>
            </c:strRef>
          </c:cat>
          <c:val>
            <c:numRef>
              <c:f>Sheet1!$C$48:$C$52</c:f>
              <c:numCache>
                <c:formatCode>General</c:formatCode>
                <c:ptCount val="5"/>
                <c:pt idx="0">
                  <c:v>211</c:v>
                </c:pt>
                <c:pt idx="1">
                  <c:v>166</c:v>
                </c:pt>
                <c:pt idx="2">
                  <c:v>20</c:v>
                </c:pt>
                <c:pt idx="3">
                  <c:v>2</c:v>
                </c:pt>
                <c:pt idx="4">
                  <c:v>1</c:v>
                </c:pt>
              </c:numCache>
            </c:numRef>
          </c:val>
          <c:extLst>
            <c:ext xmlns:c16="http://schemas.microsoft.com/office/drawing/2014/chart" uri="{C3380CC4-5D6E-409C-BE32-E72D297353CC}">
              <c16:uniqueId val="{0000000A-C4BC-4C2F-8BFF-13103E863226}"/>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Naive Bayes Classification</a:t>
            </a:r>
          </a:p>
        </c:rich>
      </c:tx>
      <c:layout>
        <c:manualLayout>
          <c:xMode val="edge"/>
          <c:yMode val="edge"/>
          <c:x val="0.2042985564304461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088509769612131"/>
          <c:y val="0.38417213473315837"/>
          <c:w val="0.59822980460775732"/>
          <c:h val="0.59822980460775732"/>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D0-4387-A65D-F07132D444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D0-4387-A65D-F07132D444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D0-4387-A65D-F07132D4444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Sheet1!$B$71:$B$73</c:f>
              <c:strCache>
                <c:ptCount val="3"/>
                <c:pt idx="0">
                  <c:v>Correct</c:v>
                </c:pt>
                <c:pt idx="1">
                  <c:v>Off by 1</c:v>
                </c:pt>
                <c:pt idx="2">
                  <c:v>Off by 2</c:v>
                </c:pt>
              </c:strCache>
            </c:strRef>
          </c:cat>
          <c:val>
            <c:numRef>
              <c:f>Sheet1!$C$71:$C$73</c:f>
              <c:numCache>
                <c:formatCode>General</c:formatCode>
                <c:ptCount val="3"/>
                <c:pt idx="0">
                  <c:v>231</c:v>
                </c:pt>
                <c:pt idx="1">
                  <c:v>150</c:v>
                </c:pt>
                <c:pt idx="2">
                  <c:v>19</c:v>
                </c:pt>
              </c:numCache>
            </c:numRef>
          </c:val>
          <c:extLst>
            <c:ext xmlns:c16="http://schemas.microsoft.com/office/drawing/2014/chart" uri="{C3380CC4-5D6E-409C-BE32-E72D297353CC}">
              <c16:uniqueId val="{00000006-C3D0-4387-A65D-F07132D44442}"/>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SVM Classification</a:t>
            </a:r>
          </a:p>
        </c:rich>
      </c:tx>
      <c:layout>
        <c:manualLayout>
          <c:xMode val="edge"/>
          <c:yMode val="edge"/>
          <c:x val="9.6203703703703722E-2"/>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01115485564307"/>
          <c:y val="0.31462671332750075"/>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A9-438F-B120-607A076855B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6A9-438F-B120-607A076855B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6A9-438F-B120-607A076855B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6A9-438F-B120-607A076855BB}"/>
              </c:ext>
            </c:extLst>
          </c:dPt>
          <c:dLbls>
            <c:dLbl>
              <c:idx val="2"/>
              <c:layout>
                <c:manualLayout>
                  <c:x val="-2.500000000000005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6A9-438F-B120-607A076855BB}"/>
                </c:ext>
              </c:extLst>
            </c:dLbl>
            <c:dLbl>
              <c:idx val="3"/>
              <c:layout>
                <c:manualLayout>
                  <c:x val="0.10555555555555556"/>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6A9-438F-B120-607A076855B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Sheet1!$B$94:$B$97</c:f>
              <c:strCache>
                <c:ptCount val="4"/>
                <c:pt idx="0">
                  <c:v>Correct</c:v>
                </c:pt>
                <c:pt idx="1">
                  <c:v>Off by 1</c:v>
                </c:pt>
                <c:pt idx="2">
                  <c:v>Off by 2</c:v>
                </c:pt>
                <c:pt idx="3">
                  <c:v>Off by 3</c:v>
                </c:pt>
              </c:strCache>
            </c:strRef>
          </c:cat>
          <c:val>
            <c:numRef>
              <c:f>Sheet1!$C$94:$C$97</c:f>
              <c:numCache>
                <c:formatCode>General</c:formatCode>
                <c:ptCount val="4"/>
                <c:pt idx="0">
                  <c:v>210</c:v>
                </c:pt>
                <c:pt idx="1">
                  <c:v>172</c:v>
                </c:pt>
                <c:pt idx="2">
                  <c:v>17</c:v>
                </c:pt>
                <c:pt idx="3">
                  <c:v>1</c:v>
                </c:pt>
              </c:numCache>
            </c:numRef>
          </c:val>
          <c:extLst>
            <c:ext xmlns:c16="http://schemas.microsoft.com/office/drawing/2014/chart" uri="{C3380CC4-5D6E-409C-BE32-E72D297353CC}">
              <c16:uniqueId val="{00000008-86A9-438F-B120-607A076855B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Wine: Random Forest Classification</a:t>
            </a:r>
          </a:p>
        </c:rich>
      </c:tx>
      <c:layout>
        <c:manualLayout>
          <c:xMode val="edge"/>
          <c:yMode val="edge"/>
          <c:x val="0.1340485564304461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27041411490232"/>
          <c:y val="0.3192563429571304"/>
          <c:w val="0.66745953630796151"/>
          <c:h val="0.6674595363079615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94-4EF9-B8E0-17A59FDA55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94-4EF9-B8E0-17A59FDA55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94-4EF9-B8E0-17A59FDA558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Sheet1!$B$117:$B$119</c:f>
              <c:strCache>
                <c:ptCount val="3"/>
                <c:pt idx="0">
                  <c:v>Correct</c:v>
                </c:pt>
                <c:pt idx="1">
                  <c:v>Off by 1</c:v>
                </c:pt>
                <c:pt idx="2">
                  <c:v>Off by 2</c:v>
                </c:pt>
              </c:strCache>
            </c:strRef>
          </c:cat>
          <c:val>
            <c:numRef>
              <c:f>Sheet1!$C$117:$C$119</c:f>
              <c:numCache>
                <c:formatCode>General</c:formatCode>
                <c:ptCount val="3"/>
                <c:pt idx="0">
                  <c:v>242</c:v>
                </c:pt>
                <c:pt idx="1">
                  <c:v>149</c:v>
                </c:pt>
                <c:pt idx="2">
                  <c:v>9</c:v>
                </c:pt>
              </c:numCache>
            </c:numRef>
          </c:val>
          <c:extLst>
            <c:ext xmlns:c16="http://schemas.microsoft.com/office/drawing/2014/chart" uri="{C3380CC4-5D6E-409C-BE32-E72D297353CC}">
              <c16:uniqueId val="{00000006-7494-4EF9-B8E0-17A59FDA558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10</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McClure, Matthew Ryan</cp:lastModifiedBy>
  <cp:revision>9</cp:revision>
  <dcterms:created xsi:type="dcterms:W3CDTF">2023-04-22T19:05:00Z</dcterms:created>
  <dcterms:modified xsi:type="dcterms:W3CDTF">2023-04-30T16:55:00Z</dcterms:modified>
</cp:coreProperties>
</file>