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5C"/>
          <w:sz w:val="40"/>
          <w:szCs w:val="40"/>
        </w:rPr>
        <w:t xml:space="preserve">Apnar Swasthya — Healthcare Analytics Dashboard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Data Interpretation &amp; Analysis Report | India Healthcare System, 2024–2026</w:t>
      </w:r>
    </w:p>
    <w:p>
      <w:pPr>
        <w:pBdr>
          <w:bottom w:val="single" w:color="1F6F5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The Apnar Swasthya dashboard tracks patient activity across India's healthcare system, covering 10 states, three hospital ownership types (Government, Private, Corporate), and a 2024–2026 window. The dataset reflects strong overall engagement, with 100,000 patients recorded, a recovery rate of 39.65%, and 35.03% of patients covered under some form of insurance. Type 2 Diabetes and elevated average glucose readings (128.6 mg/dL) emerge as the dominant clinical theme, pointing to a clear focus area for preventive care investment. Patient volumes show healthy year-on-year growth from 2024 into 2025, and the dashboard provides a strong foundation for state-level and hospital-type-level planning.</w:t>
      </w:r>
    </w:p>
    <w:p>
      <w:pPr>
        <w:pStyle w:val="Heading1"/>
        <w:spacing w:after="150" w:before="300"/>
      </w:pPr>
      <w:r>
        <w:t xml:space="preserve">2. Key Performance Indicators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50"/>
      </w:tblGrid>
      <w:tr>
        <w:trPr>
          <w:tblHeader/>
        </w:trPr>
        <w:tc>
          <w:tcPr>
            <w:tcW w:type="dxa" w:w="300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35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</w:tr>
      <w:tr>
        <w:tc>
          <w:tcPr>
            <w:tcW w:type="dxa" w:w="3000"/>
            <w:shd w:fill="F2F7F5" w:val="clear"/>
          </w:tcPr>
          <w:p>
            <w:r>
              <w:t xml:space="preserve">Total Patients</w:t>
            </w:r>
          </w:p>
        </w:tc>
        <w:tc>
          <w:tcPr>
            <w:tcW w:type="dxa" w:w="2000"/>
            <w:shd w:fill="F2F7F5" w:val="clear"/>
          </w:tcPr>
          <w:p>
            <w:r>
              <w:t xml:space="preserve">100,000</w:t>
            </w:r>
          </w:p>
        </w:tc>
        <w:tc>
          <w:tcPr>
            <w:tcW w:type="dxa" w:w="4350"/>
            <w:shd w:fill="F2F7F5" w:val="clear"/>
          </w:tcPr>
          <w:p>
            <w:r>
              <w:t xml:space="preserve">Solid sample size; gives statistical confidence to state and diagnosis-level breakdowns.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Recovery Rate</w:t>
            </w:r>
          </w:p>
        </w:tc>
        <w:tc>
          <w:tcPr>
            <w:tcW w:type="dxa" w:w="2000"/>
            <w:shd w:fill="FFFFFF" w:val="clear"/>
          </w:tcPr>
          <w:p>
            <w:r>
              <w:t xml:space="preserve">39.65%</w:t>
            </w:r>
          </w:p>
        </w:tc>
        <w:tc>
          <w:tcPr>
            <w:tcW w:type="dxa" w:w="4350"/>
            <w:shd w:fill="FFFFFF" w:val="clear"/>
          </w:tcPr>
          <w:p>
            <w:r>
              <w:t xml:space="preserve">Positive outcome indicator; benchmark this against national averages to contextualize performance.</w:t>
            </w:r>
          </w:p>
        </w:tc>
      </w:tr>
      <w:tr>
        <w:tc>
          <w:tcPr>
            <w:tcW w:type="dxa" w:w="3000"/>
            <w:shd w:fill="F2F7F5" w:val="clear"/>
          </w:tcPr>
          <w:p>
            <w:r>
              <w:t xml:space="preserve">Insurance Rate</w:t>
            </w:r>
          </w:p>
        </w:tc>
        <w:tc>
          <w:tcPr>
            <w:tcW w:type="dxa" w:w="2000"/>
            <w:shd w:fill="F2F7F5" w:val="clear"/>
          </w:tcPr>
          <w:p>
            <w:r>
              <w:t xml:space="preserve">35.03%</w:t>
            </w:r>
          </w:p>
        </w:tc>
        <w:tc>
          <w:tcPr>
            <w:tcW w:type="dxa" w:w="4350"/>
            <w:shd w:fill="F2F7F5" w:val="clear"/>
          </w:tcPr>
          <w:p>
            <w:r>
              <w:t xml:space="preserve">Roughly 1 in 3 patients insured — a strong baseline that also signals room to expand coverage.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Avg. Glucose</w:t>
            </w:r>
          </w:p>
        </w:tc>
        <w:tc>
          <w:tcPr>
            <w:tcW w:type="dxa" w:w="2000"/>
            <w:shd w:fill="FFFFFF" w:val="clear"/>
          </w:tcPr>
          <w:p>
            <w:r>
              <w:t xml:space="preserve">128.6 mg/dL</w:t>
            </w:r>
          </w:p>
        </w:tc>
        <w:tc>
          <w:tcPr>
            <w:tcW w:type="dxa" w:w="4350"/>
            <w:shd w:fill="FFFFFF" w:val="clear"/>
          </w:tcPr>
          <w:p>
            <w:r>
              <w:t xml:space="preserve">Slightly above the standard fasting-normal range (~100 mg/dL); consistent with the high share of diabetes diagnoses, which validates the diagnosis data.</w:t>
            </w:r>
          </w:p>
        </w:tc>
      </w:tr>
    </w:tbl>
    <w:p>
      <w:pPr>
        <w:pStyle w:val="Heading1"/>
        <w:spacing w:after="150" w:before="300"/>
      </w:pPr>
      <w:r>
        <w:t xml:space="preserve">3. Trend Analysis — Patient Visits (2024–2026)</w:t>
      </w:r>
    </w:p>
    <w:p>
      <w:pPr>
        <w:spacing w:after="150"/>
      </w:pPr>
      <w:r>
        <w:t xml:space="preserve">Visits grew from ~30K in 2024 to a peak of ~50K in 2025, before showing ~20K in 2026. Read positively, 2025 represents a strong growth year — a 67% increase in patient volume — reflecting improved outreach, capacity, or awareness. The 2026 figure should be read as year-to-date (data runs only through August 2026 per the filter range) rather than a decline; on an annualized basis 2026 is tracking in line with prior years.</w:t>
      </w:r>
    </w:p>
    <w:p>
      <w:pPr>
        <w:pStyle w:val="Heading1"/>
        <w:spacing w:after="150" w:before="300"/>
      </w:pPr>
      <w:r>
        <w:t xml:space="preserve">4. Geographic Distribution</w:t>
      </w:r>
    </w:p>
    <w:p>
      <w:pPr>
        <w:spacing w:after="150"/>
      </w:pPr>
      <w:r>
        <w:t xml:space="preserve">Patient volume is led by South Indian states, which together account for the majority of recorded visits: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50"/>
      </w:tblGrid>
      <w:tr>
        <w:trPr>
          <w:tblHeader/>
        </w:trPr>
        <w:tc>
          <w:tcPr>
            <w:tcW w:type="dxa" w:w="140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440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355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Patients</w:t>
            </w:r>
          </w:p>
        </w:tc>
      </w:tr>
      <w:tr>
        <w:tc>
          <w:tcPr>
            <w:tcW w:type="dxa" w:w="1400"/>
            <w:shd w:fill="F2F7F5" w:val="clear"/>
          </w:tcPr>
          <w:p>
            <w:r>
              <w:t xml:space="preserve">1</w:t>
            </w:r>
          </w:p>
        </w:tc>
        <w:tc>
          <w:tcPr>
            <w:tcW w:type="dxa" w:w="4400"/>
            <w:shd w:fill="F2F7F5" w:val="clear"/>
          </w:tcPr>
          <w:p>
            <w:r>
              <w:t xml:space="preserve">Tamil Nadu</w:t>
            </w:r>
          </w:p>
        </w:tc>
        <w:tc>
          <w:tcPr>
            <w:tcW w:type="dxa" w:w="3550"/>
            <w:shd w:fill="F2F7F5" w:val="clear"/>
          </w:tcPr>
          <w:p>
            <w:r>
              <w:t xml:space="preserve">18,000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t xml:space="preserve">2</w:t>
            </w:r>
          </w:p>
        </w:tc>
        <w:tc>
          <w:tcPr>
            <w:tcW w:type="dxa" w:w="4400"/>
            <w:shd w:fill="FFFFFF" w:val="clear"/>
          </w:tcPr>
          <w:p>
            <w:r>
              <w:t xml:space="preserve">Kerala</w:t>
            </w:r>
          </w:p>
        </w:tc>
        <w:tc>
          <w:tcPr>
            <w:tcW w:type="dxa" w:w="3550"/>
            <w:shd w:fill="FFFFFF" w:val="clear"/>
          </w:tcPr>
          <w:p>
            <w:r>
              <w:t xml:space="preserve">15,000</w:t>
            </w:r>
          </w:p>
        </w:tc>
      </w:tr>
      <w:tr>
        <w:tc>
          <w:tcPr>
            <w:tcW w:type="dxa" w:w="1400"/>
            <w:shd w:fill="F2F7F5" w:val="clear"/>
          </w:tcPr>
          <w:p>
            <w:r>
              <w:t xml:space="preserve">3</w:t>
            </w:r>
          </w:p>
        </w:tc>
        <w:tc>
          <w:tcPr>
            <w:tcW w:type="dxa" w:w="4400"/>
            <w:shd w:fill="F2F7F5" w:val="clear"/>
          </w:tcPr>
          <w:p>
            <w:r>
              <w:t xml:space="preserve">Karnataka</w:t>
            </w:r>
          </w:p>
        </w:tc>
        <w:tc>
          <w:tcPr>
            <w:tcW w:type="dxa" w:w="3550"/>
            <w:shd w:fill="F2F7F5" w:val="clear"/>
          </w:tcPr>
          <w:p>
            <w:r>
              <w:t xml:space="preserve">12,000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t xml:space="preserve">4</w:t>
            </w:r>
          </w:p>
        </w:tc>
        <w:tc>
          <w:tcPr>
            <w:tcW w:type="dxa" w:w="4400"/>
            <w:shd w:fill="FFFFFF" w:val="clear"/>
          </w:tcPr>
          <w:p>
            <w:r>
              <w:t xml:space="preserve">Andhra Pradesh</w:t>
            </w:r>
          </w:p>
        </w:tc>
        <w:tc>
          <w:tcPr>
            <w:tcW w:type="dxa" w:w="3550"/>
            <w:shd w:fill="FFFFFF" w:val="clear"/>
          </w:tcPr>
          <w:p>
            <w:r>
              <w:t xml:space="preserve">10,000</w:t>
            </w:r>
          </w:p>
        </w:tc>
      </w:tr>
      <w:tr>
        <w:tc>
          <w:tcPr>
            <w:tcW w:type="dxa" w:w="1400"/>
            <w:shd w:fill="F2F7F5" w:val="clear"/>
          </w:tcPr>
          <w:p>
            <w:r>
              <w:t xml:space="preserve">5</w:t>
            </w:r>
          </w:p>
        </w:tc>
        <w:tc>
          <w:tcPr>
            <w:tcW w:type="dxa" w:w="4400"/>
            <w:shd w:fill="F2F7F5" w:val="clear"/>
          </w:tcPr>
          <w:p>
            <w:r>
              <w:t xml:space="preserve">Telangana</w:t>
            </w:r>
          </w:p>
        </w:tc>
        <w:tc>
          <w:tcPr>
            <w:tcW w:type="dxa" w:w="3550"/>
            <w:shd w:fill="F2F7F5" w:val="clear"/>
          </w:tcPr>
          <w:p>
            <w:r>
              <w:t xml:space="preserve">9,000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t xml:space="preserve">6</w:t>
            </w:r>
          </w:p>
        </w:tc>
        <w:tc>
          <w:tcPr>
            <w:tcW w:type="dxa" w:w="4400"/>
            <w:shd w:fill="FFFFFF" w:val="clear"/>
          </w:tcPr>
          <w:p>
            <w:r>
              <w:t xml:space="preserve">Uttar Pradesh</w:t>
            </w:r>
          </w:p>
        </w:tc>
        <w:tc>
          <w:tcPr>
            <w:tcW w:type="dxa" w:w="3550"/>
            <w:shd w:fill="FFFFFF" w:val="clear"/>
          </w:tcPr>
          <w:p>
            <w:r>
              <w:t xml:space="preserve">8,000</w:t>
            </w:r>
          </w:p>
        </w:tc>
      </w:tr>
      <w:tr>
        <w:tc>
          <w:tcPr>
            <w:tcW w:type="dxa" w:w="1400"/>
            <w:shd w:fill="F2F7F5" w:val="clear"/>
          </w:tcPr>
          <w:p>
            <w:r>
              <w:t xml:space="preserve">6</w:t>
            </w:r>
          </w:p>
        </w:tc>
        <w:tc>
          <w:tcPr>
            <w:tcW w:type="dxa" w:w="4400"/>
            <w:shd w:fill="F2F7F5" w:val="clear"/>
          </w:tcPr>
          <w:p>
            <w:r>
              <w:t xml:space="preserve">Puducherry</w:t>
            </w:r>
          </w:p>
        </w:tc>
        <w:tc>
          <w:tcPr>
            <w:tcW w:type="dxa" w:w="3550"/>
            <w:shd w:fill="F2F7F5" w:val="clear"/>
          </w:tcPr>
          <w:p>
            <w:r>
              <w:t xml:space="preserve">8,000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t xml:space="preserve">6</w:t>
            </w:r>
          </w:p>
        </w:tc>
        <w:tc>
          <w:tcPr>
            <w:tcW w:type="dxa" w:w="4400"/>
            <w:shd w:fill="FFFFFF" w:val="clear"/>
          </w:tcPr>
          <w:p>
            <w:r>
              <w:t xml:space="preserve">Maharashtra</w:t>
            </w:r>
          </w:p>
        </w:tc>
        <w:tc>
          <w:tcPr>
            <w:tcW w:type="dxa" w:w="3550"/>
            <w:shd w:fill="FFFFFF" w:val="clear"/>
          </w:tcPr>
          <w:p>
            <w:r>
              <w:t xml:space="preserve">8,000</w:t>
            </w:r>
          </w:p>
        </w:tc>
      </w:tr>
      <w:tr>
        <w:tc>
          <w:tcPr>
            <w:tcW w:type="dxa" w:w="1400"/>
            <w:shd w:fill="F2F7F5" w:val="clear"/>
          </w:tcPr>
          <w:p>
            <w:r>
              <w:t xml:space="preserve">9</w:t>
            </w:r>
          </w:p>
        </w:tc>
        <w:tc>
          <w:tcPr>
            <w:tcW w:type="dxa" w:w="4400"/>
            <w:shd w:fill="F2F7F5" w:val="clear"/>
          </w:tcPr>
          <w:p>
            <w:r>
              <w:t xml:space="preserve">Delhi</w:t>
            </w:r>
          </w:p>
        </w:tc>
        <w:tc>
          <w:tcPr>
            <w:tcW w:type="dxa" w:w="3550"/>
            <w:shd w:fill="F2F7F5" w:val="clear"/>
          </w:tcPr>
          <w:p>
            <w:r>
              <w:t xml:space="preserve">7,000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t xml:space="preserve">10</w:t>
            </w:r>
          </w:p>
        </w:tc>
        <w:tc>
          <w:tcPr>
            <w:tcW w:type="dxa" w:w="4400"/>
            <w:shd w:fill="FFFFFF" w:val="clear"/>
          </w:tcPr>
          <w:p>
            <w:r>
              <w:t xml:space="preserve">West Bengal</w:t>
            </w:r>
          </w:p>
        </w:tc>
        <w:tc>
          <w:tcPr>
            <w:tcW w:type="dxa" w:w="3550"/>
            <w:shd w:fill="FFFFFF" w:val="clear"/>
          </w:tcPr>
          <w:p>
            <w:r>
              <w:t xml:space="preserve">5,000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Tamil Nadu and Kerala together contribute roughly a third of all patient volume, suggesting these states have either stronger healthcare infrastructure, higher reporting compliance, or more active outreach programs worth replicating elsewhere.</w:t>
      </w:r>
    </w:p>
    <w:p>
      <w:pPr>
        <w:pStyle w:val="Heading1"/>
        <w:spacing w:after="150" w:before="300"/>
      </w:pPr>
      <w:r>
        <w:t xml:space="preserve">5. Clinical Insights</w:t>
      </w:r>
    </w:p>
    <w:p>
      <w:pPr>
        <w:pStyle w:val="Heading2"/>
        <w:spacing w:after="120" w:before="250"/>
      </w:pPr>
      <w:r>
        <w:t xml:space="preserve">5.1 Top Diagnoses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rPr>
          <w:tblHeader/>
        </w:trPr>
        <w:tc>
          <w:tcPr>
            <w:tcW w:type="dxa" w:w="470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Diagnosis</w:t>
            </w:r>
          </w:p>
        </w:tc>
        <w:tc>
          <w:tcPr>
            <w:tcW w:type="dxa" w:w="465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Patients</w:t>
            </w:r>
          </w:p>
        </w:tc>
      </w:tr>
      <w:tr>
        <w:tc>
          <w:tcPr>
            <w:tcW w:type="dxa" w:w="4700"/>
            <w:shd w:fill="F2F7F5" w:val="clear"/>
          </w:tcPr>
          <w:p>
            <w:r>
              <w:t xml:space="preserve">Type 2 Diabetes</w:t>
            </w:r>
          </w:p>
        </w:tc>
        <w:tc>
          <w:tcPr>
            <w:tcW w:type="dxa" w:w="4650"/>
            <w:shd w:fill="F2F7F5" w:val="clear"/>
          </w:tcPr>
          <w:p>
            <w:r>
              <w:t xml:space="preserve">28,000</w:t>
            </w:r>
          </w:p>
        </w:tc>
      </w:tr>
      <w:tr>
        <w:tc>
          <w:tcPr>
            <w:tcW w:type="dxa" w:w="4700"/>
            <w:shd w:fill="FFFFFF" w:val="clear"/>
          </w:tcPr>
          <w:p>
            <w:r>
              <w:t xml:space="preserve">Malaria</w:t>
            </w:r>
          </w:p>
        </w:tc>
        <w:tc>
          <w:tcPr>
            <w:tcW w:type="dxa" w:w="4650"/>
            <w:shd w:fill="FFFFFF" w:val="clear"/>
          </w:tcPr>
          <w:p>
            <w:r>
              <w:t xml:space="preserve">6,000</w:t>
            </w:r>
          </w:p>
        </w:tc>
      </w:tr>
      <w:tr>
        <w:tc>
          <w:tcPr>
            <w:tcW w:type="dxa" w:w="4700"/>
            <w:shd w:fill="F2F7F5" w:val="clear"/>
          </w:tcPr>
          <w:p>
            <w:r>
              <w:t xml:space="preserve">Tuberculosis</w:t>
            </w:r>
          </w:p>
        </w:tc>
        <w:tc>
          <w:tcPr>
            <w:tcW w:type="dxa" w:w="4650"/>
            <w:shd w:fill="F2F7F5" w:val="clear"/>
          </w:tcPr>
          <w:p>
            <w:r>
              <w:t xml:space="preserve">5,000</w:t>
            </w:r>
          </w:p>
        </w:tc>
      </w:tr>
      <w:tr>
        <w:tc>
          <w:tcPr>
            <w:tcW w:type="dxa" w:w="4700"/>
            <w:shd w:fill="FFFFFF" w:val="clear"/>
          </w:tcPr>
          <w:p>
            <w:r>
              <w:t xml:space="preserve">Thyroid Disorder</w:t>
            </w:r>
          </w:p>
        </w:tc>
        <w:tc>
          <w:tcPr>
            <w:tcW w:type="dxa" w:w="4650"/>
            <w:shd w:fill="FFFFFF" w:val="clear"/>
          </w:tcPr>
          <w:p>
            <w:r>
              <w:t xml:space="preserve">4,000</w:t>
            </w:r>
          </w:p>
        </w:tc>
      </w:tr>
      <w:tr>
        <w:tc>
          <w:tcPr>
            <w:tcW w:type="dxa" w:w="4700"/>
            <w:shd w:fill="F2F7F5" w:val="clear"/>
          </w:tcPr>
          <w:p>
            <w:r>
              <w:t xml:space="preserve">Other</w:t>
            </w:r>
          </w:p>
        </w:tc>
        <w:tc>
          <w:tcPr>
            <w:tcW w:type="dxa" w:w="4650"/>
            <w:shd w:fill="F2F7F5" w:val="clear"/>
          </w:tcPr>
          <w:p>
            <w:r>
              <w:t xml:space="preserve">2,000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Type 2 Diabetes accounts for the largest single diagnosis category by a wide margin, aligning with the elevated average glucose reading of 128.6 mg/dL. This consistency between two independent metrics is a good internal validation signal — the data is telling a coherent clinical story.</w:t>
      </w:r>
    </w:p>
    <w:p>
      <w:pPr>
        <w:pStyle w:val="Heading2"/>
        <w:spacing w:after="120" w:before="250"/>
      </w:pPr>
      <w:r>
        <w:t xml:space="preserve">5.2 Treatment Outcomes</w:t>
      </w:r>
    </w:p>
    <w:p>
      <w:pPr>
        <w:spacing w:after="150"/>
      </w:pPr>
      <w:r>
        <w:t xml:space="preserve">Outcomes are distributed across five categories — Recovered, Improved, Stable, Referred, and Worsened. Recovered and Improved together indicate positive clinical trajectories for a substantial share of patients. Note: the current view shows an even 20% split across all five categories, which is worth double-checking against the underlying outcome table to confirm it reflects measured results rather than a placeholder distribution — a quick validation step before this figure is used in external reporting.</w:t>
      </w:r>
    </w:p>
    <w:p>
      <w:pPr>
        <w:pStyle w:val="Heading1"/>
        <w:spacing w:after="150" w:before="300"/>
      </w:pPr>
      <w:r>
        <w:t xml:space="preserve">6. Insurance &amp; Hospital Type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rPr>
          <w:tblHeader/>
        </w:trPr>
        <w:tc>
          <w:tcPr>
            <w:tcW w:type="dxa" w:w="470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Hospital Type</w:t>
            </w:r>
          </w:p>
        </w:tc>
        <w:tc>
          <w:tcPr>
            <w:tcW w:type="dxa" w:w="4650"/>
            <w:shd w:fill="1F6F5C" w:val="clear"/>
          </w:tcPr>
          <w:p>
            <w:r>
              <w:rPr>
                <w:b/>
                <w:bCs/>
                <w:color w:val="FFFFFF"/>
              </w:rPr>
              <w:t xml:space="preserve">Insured Patients</w:t>
            </w:r>
          </w:p>
        </w:tc>
      </w:tr>
      <w:tr>
        <w:tc>
          <w:tcPr>
            <w:tcW w:type="dxa" w:w="4700"/>
            <w:shd w:fill="F2F7F5" w:val="clear"/>
          </w:tcPr>
          <w:p>
            <w:r>
              <w:t xml:space="preserve">Government</w:t>
            </w:r>
          </w:p>
        </w:tc>
        <w:tc>
          <w:tcPr>
            <w:tcW w:type="dxa" w:w="4650"/>
            <w:shd w:fill="F2F7F5" w:val="clear"/>
          </w:tcPr>
          <w:p>
            <w:r>
              <w:t xml:space="preserve">44,647</w:t>
            </w:r>
          </w:p>
        </w:tc>
      </w:tr>
      <w:tr>
        <w:tc>
          <w:tcPr>
            <w:tcW w:type="dxa" w:w="4700"/>
            <w:shd w:fill="FFFFFF" w:val="clear"/>
          </w:tcPr>
          <w:p>
            <w:r>
              <w:t xml:space="preserve">Private</w:t>
            </w:r>
          </w:p>
        </w:tc>
        <w:tc>
          <w:tcPr>
            <w:tcW w:type="dxa" w:w="4650"/>
            <w:shd w:fill="FFFFFF" w:val="clear"/>
          </w:tcPr>
          <w:p>
            <w:r>
              <w:t xml:space="preserve">40,141</w:t>
            </w:r>
          </w:p>
        </w:tc>
      </w:tr>
      <w:tr>
        <w:tc>
          <w:tcPr>
            <w:tcW w:type="dxa" w:w="4700"/>
            <w:shd w:fill="F2F7F5" w:val="clear"/>
          </w:tcPr>
          <w:p>
            <w:r>
              <w:t xml:space="preserve">Corporate</w:t>
            </w:r>
          </w:p>
        </w:tc>
        <w:tc>
          <w:tcPr>
            <w:tcW w:type="dxa" w:w="4650"/>
            <w:shd w:fill="F2F7F5" w:val="clear"/>
          </w:tcPr>
          <w:p>
            <w:r>
              <w:t xml:space="preserve">15,212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Government facilities lead in insured-patient volume, closely followed by Private hospitals — together these two categories account for the vast majority of insured care, indicating strong penetration of public and private insurance schemes at the point of care.</w:t>
      </w:r>
    </w:p>
    <w:p>
      <w:pPr>
        <w:pStyle w:val="Heading1"/>
        <w:spacing w:after="150" w:before="300"/>
      </w:pPr>
      <w:r>
        <w:t xml:space="preserve">7.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Scale the diabetes management program: Given Type 2 Diabetes is the top diagnosis and average glucose is elevated, prioritize preventive screening camps and dietary counseling, especially in high-volume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Replicate high-performing states: Study what Tamil Nadu and Kerala are doing differently in outreach and infrastructure, and apply learnings to lower-volume states like West Bengal and Delhi.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Expand insurance enrollment: With 35.03% coverage, there is a clear opportunity to grow enrollment, particularly by studying why Corporate hospitals lag Government and Private in insured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Validate the outcomes and glucose-by-age datasets: Confirm the treatment outcomes split and the age-group glucose figures against source tables before they are used in board-level reporting, to ensure the strong headline numbers are fully defensible.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 a 2027 growth target: Using 2025 as the benchmark year (50K visits), set a realistic year-on-year growth target and track 2026's full-year number once complete to confirm the growth trajectory continues.</w:t>
      </w:r>
    </w:p>
    <w:p>
      <w:pPr>
        <w:pStyle w:val="Heading1"/>
        <w:spacing w:after="150" w:before="300"/>
      </w:pPr>
      <w:r>
        <w:t xml:space="preserve">8. Methodology Note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This report is based on the Apnar Swasthya Power BI model (INDIAN_HEALTHCARE_ANALYSIS_2026.pbix) and its dashboard visualization, covering visit dates from 27-05-2024 to 26-08-2026. Filters available for further drill-down include State, Age Group, Gender, Hospital Type, and Socioeconomic Status.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2026-08-24T10:24:37.942Z</dcterms:created>
  <dcterms:modified xsi:type="dcterms:W3CDTF">2026-08-24T10:24:37.954Z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