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urce-sleuth-build-specification"/>
    <w:p>
      <w:pPr>
        <w:pStyle w:val="Heading1"/>
      </w:pPr>
      <w:r>
        <w:t xml:space="preserve">“</w:t>
      </w:r>
      <w:r>
        <w:t xml:space="preserve">Source Sleuth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33cec9f4fdc875ebc89f52c5e803347a99cac26"/>
    <w:p>
      <w:pPr>
        <w:pStyle w:val="Heading3"/>
      </w:pPr>
      <w:r>
        <w:t xml:space="preserve">Unit 8 Game · Social Studies Skills ·</w:t>
      </w:r>
      <w:r>
        <w:t xml:space="preserve"> </w:t>
      </w:r>
      <w:r>
        <w:rPr>
          <w:iCs/>
          <w:i/>
        </w:rPr>
        <w:t xml:space="preserve">Common Build Standards apply (Pattern A — Engine Game)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7.20A (primary vs. secondary; valid sources), 7.20D (bias and point of view), 7.20F (credibility), 7.20E (claim +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historian solving</w:t>
            </w:r>
            <w:r>
              <w:t xml:space="preserve"> </w:t>
            </w:r>
            <w:r>
              <w:t xml:space="preserve">“</w:t>
            </w:r>
            <w:r>
              <w:t xml:space="preserve">The Case of the Gonzales Cannon</w:t>
            </w:r>
            <w:r>
              <w:t xml:space="preserve">”</w:t>
            </w:r>
            <w:r>
              <w:t xml:space="preserve"> </w:t>
            </w:r>
            <w:r>
              <w:t xml:space="preserve">(everyone plays the sleuth — class-wide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mystery — 6 evidence phases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  <w:r>
              <w:t xml:space="preserve">; an evidence board fills as the case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sourceSleuth.js</w:t>
            </w:r>
            <w:r>
              <w:t xml:space="preserve"> </w:t>
            </w:r>
            <w:r>
              <w:t xml:space="preserve">· meters</w:t>
            </w:r>
            <w:r>
              <w:t xml:space="preserve"> </w:t>
            </w:r>
            <w:r>
              <w:rPr>
                <w:rStyle w:val="VerbatimChar"/>
              </w:rPr>
              <w:t xml:space="preserve">{ evidence, credibility, case }</w:t>
            </w:r>
            <w:r>
              <w:t xml:space="preserve"> </w:t>
            </w:r>
            <w:r>
              <w:t xml:space="preserve">start 50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Your museum found a battered old cannon in a barn, tagged</w:t>
      </w:r>
      <w:r>
        <w:t xml:space="preserve"> </w:t>
      </w:r>
      <w:r>
        <w:t xml:space="preserve">“</w:t>
      </w:r>
      <w:r>
        <w:t xml:space="preserve">the Gonzales gun?</w:t>
      </w:r>
      <w:r>
        <w:t xml:space="preserve">”</w:t>
      </w:r>
      <w:r>
        <w:t xml:space="preserve"> </w:t>
      </w:r>
      <w:r>
        <w:t xml:space="preserve">— and it’s your job to find out. Six sources, six tests, one verdict: is this THE</w:t>
      </w:r>
      <w:r>
        <w:t xml:space="preserve"> </w:t>
      </w:r>
      <w:r>
        <w:t xml:space="preserve">“</w:t>
      </w:r>
      <w:r>
        <w:t xml:space="preserve">Come and Take It</w:t>
      </w:r>
      <w:r>
        <w:t xml:space="preserve">”</w:t>
      </w:r>
      <w:r>
        <w:t xml:space="preserve"> </w:t>
      </w:r>
      <w:r>
        <w:t xml:space="preserve">cannon? Real historians work exactly this way. Time to sleuth.</w:t>
      </w:r>
    </w:p>
    <w:p>
      <w:pPr>
        <w:pStyle w:val="BodyText"/>
      </w:pPr>
      <w:r>
        <w:rPr>
          <w:bCs/>
          <w:b/>
        </w:rPr>
        <w:t xml:space="preserve">Teaching idea:</w:t>
      </w:r>
      <w:r>
        <w:t xml:space="preserve"> </w:t>
      </w:r>
      <w:r>
        <w:t xml:space="preserve">every 7.20 skill, played as detection. Each phase hands the student one source about the cannon; decision 1</w:t>
      </w:r>
      <w:r>
        <w:t xml:space="preserve"> </w:t>
      </w:r>
      <w:r>
        <w:rPr>
          <w:bCs/>
          <w:b/>
        </w:rPr>
        <w:t xml:space="preserve">classifies and reads</w:t>
      </w:r>
      <w:r>
        <w:t xml:space="preserve"> </w:t>
      </w:r>
      <w:r>
        <w:t xml:space="preserve">it (primary or secondary? who made it, when, why?), decision 2</w:t>
      </w:r>
      <w:r>
        <w:t xml:space="preserve"> </w:t>
      </w:r>
      <w:r>
        <w:rPr>
          <w:bCs/>
          <w:b/>
        </w:rPr>
        <w:t xml:space="preserve">weighs</w:t>
      </w:r>
      <w:r>
        <w:t xml:space="preserve"> </w:t>
      </w:r>
      <w:r>
        <w:t xml:space="preserve">it (bias? corroboration? does it move the case?). The finale asks for a claim supported by evidence (7.20E) — and the honest answer is a historian’s answer:</w:t>
      </w:r>
      <w:r>
        <w:t xml:space="preserve"> </w:t>
      </w:r>
      <w:r>
        <w:rPr>
          <w:iCs/>
          <w:i/>
        </w:rPr>
        <w:t xml:space="preserve">probably, with reservations</w:t>
      </w:r>
      <w:r>
        <w:t xml:space="preserve"> </w:t>
      </w:r>
      <w:r>
        <w:t xml:space="preserve">— teaching that</w:t>
      </w:r>
      <w:r>
        <w:t xml:space="preserve"> </w:t>
      </w:r>
      <w:r>
        <w:t xml:space="preserve">“</w:t>
      </w:r>
      <w:r>
        <w:t xml:space="preserve">I’m partly sure, and here’s why</w:t>
      </w:r>
      <w:r>
        <w:t xml:space="preserve">”</w:t>
      </w:r>
      <w:r>
        <w:t xml:space="preserve"> </w:t>
      </w:r>
      <w:r>
        <w:t xml:space="preserve">is a strong conclusion, not a weak one.</w:t>
      </w:r>
    </w:p>
    <w:bookmarkEnd w:id="21"/>
    <w:bookmarkStart w:id="22" w:name="X4df5e631125469372e47b64cba10afdf1636276"/>
    <w:p>
      <w:pPr>
        <w:pStyle w:val="Heading2"/>
      </w:pPr>
      <w:r>
        <w:t xml:space="preserve">2. The Six Sources (the case file — fictionalized realistically around the real 1835 story)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soldier’s diary (1835)</w:t>
      </w:r>
      <w:r>
        <w:t xml:space="preserve"> </w:t>
      </w:r>
      <w:r>
        <w:t xml:space="preserve">— primary; written days after Gonzales; describes burying</w:t>
      </w:r>
      <w:r>
        <w:t xml:space="preserve"> </w:t>
      </w:r>
      <w:r>
        <w:t xml:space="preserve">“</w:t>
      </w:r>
      <w:r>
        <w:t xml:space="preserve">the little cannon</w:t>
      </w:r>
      <w:r>
        <w:t xml:space="preserve">”</w:t>
      </w:r>
      <w:r>
        <w:t xml:space="preserve"> </w:t>
      </w:r>
      <w:r>
        <w:t xml:space="preserve">later on the march. Strong, but one witness.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newspaper story (1897)</w:t>
      </w:r>
      <w:r>
        <w:t xml:space="preserve"> </w:t>
      </w:r>
      <w:r>
        <w:t xml:space="preserve">— secondary, 60 years after; colorful, contradicts the diary on details; written to boost a town festival (motive!).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museum donor’s family legend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Grandpa always said…</w:t>
      </w:r>
      <w:r>
        <w:t xml:space="preserve">”</w:t>
      </w:r>
      <w:r>
        <w:t xml:space="preserve"> </w:t>
      </w:r>
      <w:r>
        <w:t xml:space="preserve">— testimony with love in it; weakest alone, worth checking against the rest.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 1836 army supply list</w:t>
      </w:r>
      <w:r>
        <w:t xml:space="preserve"> </w:t>
      </w:r>
      <w:r>
        <w:t xml:space="preserve">— primary document; lists a six-pound cannon of matching size sent toward Gonzales. Dry, dull, and gold.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modern archaeologist’s report (2010s)</w:t>
      </w:r>
      <w:r>
        <w:t xml:space="preserve"> </w:t>
      </w:r>
      <w:r>
        <w:t xml:space="preserve">— secondary but expert; metal analysis dates the barrel to the right era; can’t prove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gun.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rival town’s website</w:t>
      </w:r>
      <w:r>
        <w:t xml:space="preserve"> </w:t>
      </w:r>
      <w:r>
        <w:t xml:space="preserve">— claims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cannon is the real one; loaded words, no citations — the bias-spotting showcase.</w:t>
      </w:r>
    </w:p>
    <w:bookmarkEnd w:id="22"/>
    <w:bookmarkStart w:id="23" w:name="mechanics"/>
    <w:p>
      <w:pPr>
        <w:pStyle w:val="Heading2"/>
      </w:pPr>
      <w:r>
        <w:t xml:space="preserve">3. Mechanics</w:t>
      </w:r>
    </w:p>
    <w:p>
      <w:pPr>
        <w:pStyle w:val="FirstParagraph"/>
      </w:pPr>
      <w:r>
        <w:t xml:space="preserve">Meters: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🔍 (what’s solidly established),</w:t>
      </w:r>
      <w:r>
        <w:t xml:space="preserve"> </w:t>
      </w:r>
      <w:r>
        <w:rPr>
          <w:bCs/>
          <w:b/>
        </w:rPr>
        <w:t xml:space="preserve">Credibility</w:t>
      </w:r>
      <w:r>
        <w:t xml:space="preserve"> </w:t>
      </w:r>
      <w:r>
        <w:t xml:space="preserve">⚖️ (how well the student weighed sources),</w:t>
      </w:r>
      <w:r>
        <w:t xml:space="preserve"> </w:t>
      </w:r>
      <w:r>
        <w:rPr>
          <w:bCs/>
          <w:b/>
        </w:rPr>
        <w:t xml:space="preserve">Case</w:t>
      </w:r>
      <w:r>
        <w:t xml:space="preserve"> </w:t>
      </w:r>
      <w:r>
        <w:t xml:space="preserve">📋 (the argument taking shape). Sample decisions —</w:t>
      </w:r>
      <w:r>
        <w:t xml:space="preserve"> </w:t>
      </w:r>
      <w:r>
        <w:rPr>
          <w:iCs/>
          <w:i/>
        </w:rPr>
        <w:t xml:space="preserve">Phase 1, decision 1:</w:t>
      </w:r>
      <w:r>
        <w:t xml:space="preserve"> </w:t>
      </w:r>
      <w:r>
        <w:t xml:space="preserve">the diary is: ✅ primary — made at the time by a witness (Evidence +10) · ⚠️ secondary because it’s old (feedback fixes the misconception: age ≠ secondary) · ❌ unusable because it’s handwritten.</w:t>
      </w:r>
      <w:r>
        <w:t xml:space="preserve"> </w:t>
      </w:r>
      <w:r>
        <w:rPr>
          <w:iCs/>
          <w:i/>
        </w:rPr>
        <w:t xml:space="preserve">Decision 2:</w:t>
      </w:r>
      <w:r>
        <w:t xml:space="preserve"> </w:t>
      </w:r>
      <w:r>
        <w:t xml:space="preserve">one witness says it — ✅ log it and seek corroboration (Credibility +10) · ❌ case closed, the diary said so (Credibility −10;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one source is a lead, not a verdict</w:t>
      </w:r>
      <w:r>
        <w:rPr>
          <w:iCs/>
          <w:i/>
        </w:rPr>
        <w:t xml:space="preserve">”</w:t>
      </w:r>
      <w:r>
        <w:t xml:space="preserve">). The 1897 newspaper phase teaches motive; the website phase teaches loaded language (click the three loaded words — a mini-interaction); the finale grades the claim: ✅</w:t>
      </w:r>
      <w:r>
        <w:t xml:space="preserve"> </w:t>
      </w:r>
      <w:r>
        <w:t xml:space="preserve">“</w:t>
      </w:r>
      <w:r>
        <w:t xml:space="preserve">probably the gun — diary + supply list + metal date agree; the legend and the rival claim don’t hold up</w:t>
      </w:r>
      <w:r>
        <w:t xml:space="preserve">”</w:t>
      </w:r>
      <w:r>
        <w:t xml:space="preserve"> </w:t>
      </w:r>
      <w:r>
        <w:t xml:space="preserve">(Case +15).</w:t>
      </w:r>
    </w:p>
    <w:p>
      <w:pPr>
        <w:pStyle w:val="BodyText"/>
      </w:pPr>
      <w:r>
        <w:t xml:space="preserve">Ending = sum → tiers (</w:t>
      </w:r>
      <w:r>
        <w:t xml:space="preserve">“</w:t>
      </w:r>
      <w:r>
        <w:t xml:space="preserve">Master Sleuth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Solid Case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Reopened for Review</w:t>
      </w:r>
      <w:r>
        <w:t xml:space="preserve">”</w:t>
      </w:r>
      <w:r>
        <w:t xml:space="preserve">) + debrief: the real Gonzales cannon’s fate is genuinely debated — which is the point: history is detective work that stays honest about uncertainty.</w:t>
      </w:r>
    </w:p>
    <w:bookmarkEnd w:id="23"/>
    <w:bookmarkStart w:id="24" w:name="assets-command-center"/>
    <w:p>
      <w:pPr>
        <w:pStyle w:val="Heading2"/>
      </w:pPr>
      <w:r>
        <w:t xml:space="preserve">4. Assets &amp; Command Center</w:t>
      </w:r>
    </w:p>
    <w:p>
      <w:pPr>
        <w:pStyle w:val="FirstParagraph"/>
      </w:pPr>
      <w:r>
        <w:t xml:space="preserve">Higgsfield: title card (a museum workroom, an old cannon on a bench, files and a magnifier), six source-card illustrations (a diary page, a yellowed newspaper, a family photo, a ledger, a lab report, a garish webpage mock — Sonnet can style #6). One class-wide group; PDF footer TEKS 7.20A/D/F. Pairs with the Primary or Secondary? and Spot the Bias apps as the graded capstone.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2026-07-12T05:55:44Z</dcterms:created>
  <dcterms:modified xsi:type="dcterms:W3CDTF">2026-07-12T05:55:44Z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