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3A33C9"/>
          <w:sz w:val="40"/>
          <w:szCs w:val="40"/>
        </w:rPr>
        <w:t xml:space="preserve">VERRA</w:t>
      </w:r>
    </w:p>
    <w:p>
      <w:pPr>
        <w:spacing w:after="40"/>
      </w:pPr>
      <w:r>
        <w:rPr>
          <w:caps/>
          <w:color w:val="5B5B66"/>
          <w:spacing w:val="30"/>
          <w:sz w:val="22"/>
          <w:szCs w:val="22"/>
        </w:rPr>
        <w:t xml:space="preserve">Business Requirements Document (BRD)</w:t>
      </w:r>
    </w:p>
    <w:p>
      <w:pPr>
        <w:pStyle w:val="Title"/>
        <w:spacing w:after="60" w:before="120"/>
      </w:pPr>
      <w:r>
        <w:rPr>
          <w:b/>
          <w:bCs/>
          <w:color w:val="111114"/>
          <w:sz w:val="60"/>
          <w:szCs w:val="60"/>
        </w:rPr>
        <w:t xml:space="preserve">AI Platform for Accounting, Tax, Audit &amp; Compliance</w:t>
      </w:r>
    </w:p>
    <w:p>
      <w:pPr>
        <w:spacing w:after="600"/>
      </w:pPr>
      <w:r>
        <w:rPr>
          <w:color w:val="5B5B66"/>
          <w:sz w:val="26"/>
          <w:szCs w:val="26"/>
        </w:rPr>
        <w:t xml:space="preserve">A multi-tenant, multi-jurisdiction AI engine — UX modeled on ideation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Document</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Business Requirements Document (BRD)</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Product</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Verra (working name)</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Version</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0.1 — Draft for review</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Date</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16 June 2026</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Owner</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Product / Pranav</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Status</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Concept / discovery</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Audience</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Sponsors, business, compliance, engineering</w:t>
            </w:r>
          </w:p>
        </w:tc>
      </w:tr>
    </w:tbl>
    <w:p>
      <w:r>
        <w:br w:type="page"/>
      </w:r>
    </w:p>
    <w:p>
      <w:pPr>
        <w:spacing w:after="140"/>
      </w:pPr>
      <w:r>
        <w:rPr>
          <w:b/>
          <w:bCs/>
          <w:color w:val="3A33C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Verra is an AI-native platform for accounting, tax, audit, and compliance. It reads a client's financial documents, surfaces what needs attention each day, models tax scenarios in minutes, automates the month-end close and audit testing, and keeps every statutory filing on time — across multiple jurisdictions — while a licensed professional stays in control of every recommendation.</w:t>
      </w:r>
    </w:p>
    <w:p>
      <w:pPr>
        <w:spacing w:after="120" w:line="276"/>
      </w:pPr>
      <w:r>
        <w:t xml:space="preserve">The product is delivered as a single multi-tenant platform with three tailored experiences: professional firms (accounting, CPA, audit), in-house company finance teams, and individuals/small businesses. The user experience is modeled on ideation's calm, conversational, security-first interface, extended from wealth-advisory tax planning into the full accounting, audit and compliance lifecycle.</w:t>
      </w:r>
    </w:p>
    <w:p>
      <w:pPr>
        <w:spacing w:after="120" w:line="276"/>
      </w:pPr>
      <w:r>
        <w:t xml:space="preserve">The Minimum Viable Product (MVP) leads with Tax (planning and filing preparation), with accounting/close, audit, and compliance delivered on a phased roadmap. This Business Requirements Document (BRD) defines the business rationale, market opportunity, stakeholders, scope, business-level requirements, success metrics, and risks that the product must satisfy.</w:t>
      </w:r>
    </w:p>
    <w:p>
      <w:pPr>
        <w:spacing w:after="120" w:line="276"/>
      </w:pPr>
      <w:r>
        <w:rPr>
          <w:b/>
          <w:bCs/>
        </w:rPr>
        <w:t xml:space="preserve">Why now. </w:t>
      </w:r>
      <w:r>
        <w:t xml:space="preserve">The AI-in-accounting market is estimated at roughly US$10.7B in 2026 and is projected to grow at a ~44% CAGR through the early 2030s. Simultaneously, a wave of mandatory digital-tax and e-invoicing regulations (EU ViDA, France, Germany, Poland, Belgium, India GST, UAE) is forcing firms and companies to adopt automated, audit-ready compliance tooling. The convergence of capable generative AI and regulatory pressure creates a rare window to build a category-defining product.</w:t>
      </w:r>
    </w:p>
    <w:p>
      <w:pPr>
        <w:pStyle w:val="Heading1"/>
      </w:pPr>
      <w:r>
        <w:t xml:space="preserve">2. Business Context &amp; Problem Statement</w:t>
      </w:r>
    </w:p>
    <w:p>
      <w:pPr>
        <w:spacing w:after="120" w:line="276"/>
      </w:pPr>
      <w:r>
        <w:t xml:space="preserve">Accounting, tax, audit and compliance work is high-volume, deadline-driven, document-heavy, and unforgiving of error. The people doing it are scarce and expensive, and the regulatory surface they must track is expanding across every jurisdiction. Today this work is spread across disconnected tools — ledgers, spreadsheets, tax software, document stores, email — with manual re-keying between them.</w:t>
      </w:r>
    </w:p>
    <w:p>
      <w:pPr>
        <w:pStyle w:val="Heading2"/>
      </w:pPr>
      <w:r>
        <w:t xml:space="preserve">2.1 Pain points by audience</w:t>
      </w:r>
    </w:p>
    <w:p>
      <w:pPr>
        <w:pStyle w:val="Heading3"/>
      </w:pPr>
      <w:r>
        <w:t xml:space="preserve">Professional firms (accounting / CPA / audit)</w:t>
      </w:r>
    </w:p>
    <w:p>
      <w:pPr>
        <w:pStyle w:val="ListParagraph"/>
        <w:numPr>
          <w:ilvl w:val="0"/>
          <w:numId w:val="2"/>
        </w:numPr>
        <w:spacing w:after="60" w:line="270"/>
      </w:pPr>
      <w:r>
        <w:t xml:space="preserve">Talent shortage and burnout: seasonal peaks (tax season, audit busy season) overwhelm staff; junior time is consumed by data entry, tie-outs and document chasing.</w:t>
      </w:r>
    </w:p>
    <w:p>
      <w:pPr>
        <w:pStyle w:val="ListParagraph"/>
        <w:numPr>
          <w:ilvl w:val="0"/>
          <w:numId w:val="2"/>
        </w:numPr>
        <w:spacing w:after="60" w:line="270"/>
      </w:pPr>
      <w:r>
        <w:t xml:space="preserve">Inconsistent quality: tax reviews and audit judgments vary by preparer; firms struggle to make every associate perform like their best planner.</w:t>
      </w:r>
    </w:p>
    <w:p>
      <w:pPr>
        <w:pStyle w:val="ListParagraph"/>
        <w:numPr>
          <w:ilvl w:val="0"/>
          <w:numId w:val="2"/>
        </w:numPr>
        <w:spacing w:after="60" w:line="270"/>
      </w:pPr>
      <w:r>
        <w:t xml:space="preserve">Realization pressure: low-value administrative work erodes margins and crowds out advisory work clients actually pay for.</w:t>
      </w:r>
    </w:p>
    <w:p>
      <w:pPr>
        <w:pStyle w:val="Heading3"/>
      </w:pPr>
      <w:r>
        <w:t xml:space="preserve">In-house company finance teams</w:t>
      </w:r>
    </w:p>
    <w:p>
      <w:pPr>
        <w:pStyle w:val="ListParagraph"/>
        <w:numPr>
          <w:ilvl w:val="0"/>
          <w:numId w:val="2"/>
        </w:numPr>
        <w:spacing w:after="60" w:line="270"/>
      </w:pPr>
      <w:r>
        <w:t xml:space="preserve">Slow, manual month-end close; reconciliations and intercompany entries done in spreadsheets.</w:t>
      </w:r>
    </w:p>
    <w:p>
      <w:pPr>
        <w:pStyle w:val="ListParagraph"/>
        <w:numPr>
          <w:ilvl w:val="0"/>
          <w:numId w:val="2"/>
        </w:numPr>
        <w:spacing w:after="60" w:line="270"/>
      </w:pPr>
      <w:r>
        <w:t xml:space="preserve">Audit readiness is a fire drill: evidence is scattered and assembled reactively when auditors arrive.</w:t>
      </w:r>
    </w:p>
    <w:p>
      <w:pPr>
        <w:pStyle w:val="ListParagraph"/>
        <w:numPr>
          <w:ilvl w:val="0"/>
          <w:numId w:val="2"/>
        </w:numPr>
        <w:spacing w:after="60" w:line="270"/>
      </w:pPr>
      <w:r>
        <w:t xml:space="preserve">Multi-entity, multi-currency, multi-jurisdiction compliance (VAT/GST, e-invoicing, statutory filings) is hard to track centrally.</w:t>
      </w:r>
    </w:p>
    <w:p>
      <w:pPr>
        <w:pStyle w:val="Heading3"/>
      </w:pPr>
      <w:r>
        <w:t xml:space="preserve">Individuals &amp; small businesses</w:t>
      </w:r>
    </w:p>
    <w:p>
      <w:pPr>
        <w:pStyle w:val="ListParagraph"/>
        <w:numPr>
          <w:ilvl w:val="0"/>
          <w:numId w:val="2"/>
        </w:numPr>
        <w:spacing w:after="60" w:line="270"/>
      </w:pPr>
      <w:r>
        <w:t xml:space="preserve">Taxes are opaque and intimidating; people don't know what they owe, what they can save, or what is due when.</w:t>
      </w:r>
    </w:p>
    <w:p>
      <w:pPr>
        <w:pStyle w:val="ListParagraph"/>
        <w:numPr>
          <w:ilvl w:val="0"/>
          <w:numId w:val="2"/>
        </w:numPr>
        <w:spacing w:after="60" w:line="270"/>
      </w:pPr>
      <w:r>
        <w:t xml:space="preserve">Deadlines are missed; documents are disorganized; sharing securely with an accountant is clumsy.</w:t>
      </w:r>
    </w:p>
    <w:p>
      <w:pPr>
        <w:pStyle w:val="Heading2"/>
      </w:pPr>
      <w:r>
        <w:t xml:space="preserve">2.2 The opportunity</w:t>
      </w:r>
    </w:p>
    <w:p>
      <w:pPr>
        <w:spacing w:after="120" w:line="276"/>
      </w:pPr>
      <w:r>
        <w:t xml:space="preserve">A single AI engine that ingests the underlying documents and data once, understands them, and serves all four domains — accounting, tax, audit, compliance — can remove the re-keying, standardize quality, and turn reactive compliance into a proactive, always-on system. Doing this with citations, human-approval gates, and an immutable audit trail makes it trustworthy enough for regulated professional use.</w:t>
      </w:r>
    </w:p>
    <w:p>
      <w:pPr>
        <w:pStyle w:val="Heading1"/>
      </w:pPr>
      <w:r>
        <w:t xml:space="preserve">3. Vision, Mission &amp; Guiding Principles</w:t>
      </w:r>
    </w:p>
    <w:p>
      <w:pPr>
        <w:spacing w:after="120" w:line="276"/>
      </w:pPr>
      <w:r>
        <w:rPr>
          <w:b/>
          <w:bCs/>
        </w:rPr>
        <w:t xml:space="preserve">Vision. </w:t>
      </w:r>
      <w:r>
        <w:t xml:space="preserve">Every accountant, finance team and taxpayer has an AI engine that does the heavy lifting so humans can focus on judgment and relationships.</w:t>
      </w:r>
    </w:p>
    <w:p>
      <w:pPr>
        <w:spacing w:after="120" w:line="276"/>
      </w:pPr>
      <w:r>
        <w:rPr>
          <w:b/>
          <w:bCs/>
        </w:rPr>
        <w:t xml:space="preserve">Mission. </w:t>
      </w:r>
      <w:r>
        <w:t xml:space="preserve">Turn raw financial documents and data into clear, defensible, on-time outcomes across accounting, tax, audit and compliance — with the professional always in control.</w:t>
      </w:r>
    </w:p>
    <w:p>
      <w:pPr>
        <w:pStyle w:val="Heading2"/>
      </w:pPr>
      <w:r>
        <w:t xml:space="preserve">3.1 Guiding principles</w:t>
      </w:r>
    </w:p>
    <w:p>
      <w:pPr>
        <w:pStyle w:val="ListParagraph"/>
        <w:numPr>
          <w:ilvl w:val="0"/>
          <w:numId w:val="2"/>
        </w:numPr>
        <w:spacing w:after="60" w:line="270"/>
      </w:pPr>
      <w:r>
        <w:rPr>
          <w:b/>
          <w:bCs/>
        </w:rPr>
        <w:t xml:space="preserve">Human-in-the-loop by default. </w:t>
      </w:r>
      <w:r>
        <w:t xml:space="preserve">AI prepares; a licensed human reviews and approves anything sent, filed, or relied upon.</w:t>
      </w:r>
    </w:p>
    <w:p>
      <w:pPr>
        <w:pStyle w:val="ListParagraph"/>
        <w:numPr>
          <w:ilvl w:val="0"/>
          <w:numId w:val="2"/>
        </w:numPr>
        <w:spacing w:after="60" w:line="270"/>
      </w:pPr>
      <w:r>
        <w:rPr>
          <w:b/>
          <w:bCs/>
        </w:rPr>
        <w:t xml:space="preserve">Cited and auditable. </w:t>
      </w:r>
      <w:r>
        <w:t xml:space="preserve">Every answer shows its sources; every action leaves a receipt in an immutable log.</w:t>
      </w:r>
    </w:p>
    <w:p>
      <w:pPr>
        <w:pStyle w:val="ListParagraph"/>
        <w:numPr>
          <w:ilvl w:val="0"/>
          <w:numId w:val="2"/>
        </w:numPr>
        <w:spacing w:after="60" w:line="270"/>
      </w:pPr>
      <w:r>
        <w:rPr>
          <w:b/>
          <w:bCs/>
        </w:rPr>
        <w:t xml:space="preserve">Security and privacy first. </w:t>
      </w:r>
      <w:r>
        <w:t xml:space="preserve">Zero-retention arrangements with model providers; encryption; no training on customer data.</w:t>
      </w:r>
    </w:p>
    <w:p>
      <w:pPr>
        <w:pStyle w:val="ListParagraph"/>
        <w:numPr>
          <w:ilvl w:val="0"/>
          <w:numId w:val="2"/>
        </w:numPr>
        <w:spacing w:after="60" w:line="270"/>
      </w:pPr>
      <w:r>
        <w:rPr>
          <w:b/>
          <w:bCs/>
        </w:rPr>
        <w:t xml:space="preserve">One ingestion, many uses. </w:t>
      </w:r>
      <w:r>
        <w:t xml:space="preserve">Documents and data are parsed once and reused across all modules.</w:t>
      </w:r>
    </w:p>
    <w:p>
      <w:pPr>
        <w:pStyle w:val="ListParagraph"/>
        <w:numPr>
          <w:ilvl w:val="0"/>
          <w:numId w:val="2"/>
        </w:numPr>
        <w:spacing w:after="60" w:line="270"/>
      </w:pPr>
      <w:r>
        <w:rPr>
          <w:b/>
          <w:bCs/>
        </w:rPr>
        <w:t xml:space="preserve">Jurisdiction-aware. </w:t>
      </w:r>
      <w:r>
        <w:t xml:space="preserve">Rules, forms and deadlines are configurable per country and region.</w:t>
      </w:r>
    </w:p>
    <w:p>
      <w:pPr>
        <w:pStyle w:val="Heading1"/>
      </w:pPr>
      <w:r>
        <w:t xml:space="preserve">4. Business Objectives &amp; Success Metrics</w:t>
      </w:r>
    </w:p>
    <w:p>
      <w:pPr>
        <w:spacing w:after="120" w:line="276"/>
      </w:pPr>
      <w:r>
        <w:t xml:space="preserve">The following objectives define what the business must achieve. Each is paired with measurable 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Objective</w:t>
            </w:r>
          </w:p>
        </w:tc>
        <w:tc>
          <w:tcPr>
            <w:tcW w:type="dxa" w:w="61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Key result / target (first 12–18 months)</w:t>
            </w:r>
          </w:p>
        </w:tc>
      </w:tr>
      <w:tr>
        <w:tc>
          <w:tcPr>
            <w:tcW w:type="dxa" w:w="3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Prove value in tax (MVP)</w:t>
            </w:r>
          </w:p>
        </w:tc>
        <w:tc>
          <w:tcPr>
            <w:tcW w:type="dxa" w:w="6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15 hrs saved per professional / month; ≥ 90% of tax analyses accepted with minor edits</w:t>
            </w:r>
          </w:p>
        </w:tc>
      </w:tr>
      <w:tr>
        <w:tc>
          <w:tcPr>
            <w:tcW w:type="dxa" w:w="3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Land design-partner firms</w:t>
            </w:r>
          </w:p>
        </w:tc>
        <w:tc>
          <w:tcPr>
            <w:tcW w:type="dxa" w:w="6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10–15 paying design-partner firms in beta; 3 in-house company teams</w:t>
            </w:r>
          </w:p>
        </w:tc>
      </w:tr>
      <w:tr>
        <w:tc>
          <w:tcPr>
            <w:tcW w:type="dxa" w:w="3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Trust &amp; accuracy</w:t>
            </w:r>
          </w:p>
        </w:tc>
        <w:tc>
          <w:tcPr>
            <w:tcW w:type="dxa" w:w="6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95% citation accuracy on tax figures; &lt; 2% material-error rate flagged in review</w:t>
            </w:r>
          </w:p>
        </w:tc>
      </w:tr>
      <w:tr>
        <w:tc>
          <w:tcPr>
            <w:tcW w:type="dxa" w:w="3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Retention &amp; expansion</w:t>
            </w:r>
          </w:p>
        </w:tc>
        <w:tc>
          <w:tcPr>
            <w:tcW w:type="dxa" w:w="6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Logo retention ≥ 90%; net revenue retention ≥ 120% via tax → audit/compliance expansion</w:t>
            </w:r>
          </w:p>
        </w:tc>
      </w:tr>
      <w:tr>
        <w:tc>
          <w:tcPr>
            <w:tcW w:type="dxa" w:w="3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Multi-jurisdiction proof</w:t>
            </w:r>
          </w:p>
        </w:tc>
        <w:tc>
          <w:tcPr>
            <w:tcW w:type="dxa" w:w="6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Live support for ≥ 3 jurisdictions (US, UK, India) by GA</w:t>
            </w:r>
          </w:p>
        </w:tc>
      </w:tr>
      <w:tr>
        <w:tc>
          <w:tcPr>
            <w:tcW w:type="dxa" w:w="3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Commercial</w:t>
            </w:r>
          </w:p>
        </w:tc>
        <w:tc>
          <w:tcPr>
            <w:tcW w:type="dxa" w:w="6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Reach US$1–2M ARR within 12 months of GA at blended ~US$75–125 / seat / month</w:t>
            </w:r>
          </w:p>
        </w:tc>
      </w:tr>
    </w:tbl>
    <w:p>
      <w:pPr>
        <w:pStyle w:val="Heading1"/>
      </w:pPr>
      <w:r>
        <w:t xml:space="preserve">5. Market Opportunity &amp; Sizing</w:t>
      </w:r>
    </w:p>
    <w:p>
      <w:pPr>
        <w:pStyle w:val="ListParagraph"/>
        <w:numPr>
          <w:ilvl w:val="0"/>
          <w:numId w:val="2"/>
        </w:numPr>
        <w:spacing w:after="60" w:line="270"/>
      </w:pPr>
      <w:r>
        <w:rPr>
          <w:b/>
          <w:bCs/>
        </w:rPr>
        <w:t xml:space="preserve">AI in accounting: </w:t>
      </w:r>
      <w:r>
        <w:t xml:space="preserve">~US$10.7B in 2026, growing at ~44% CAGR toward US$60–80B by the early 2030s (multiple market-research estimates).</w:t>
      </w:r>
    </w:p>
    <w:p>
      <w:pPr>
        <w:pStyle w:val="ListParagraph"/>
        <w:numPr>
          <w:ilvl w:val="0"/>
          <w:numId w:val="2"/>
        </w:numPr>
        <w:spacing w:after="60" w:line="270"/>
      </w:pPr>
      <w:r>
        <w:rPr>
          <w:b/>
          <w:bCs/>
        </w:rPr>
        <w:t xml:space="preserve">AI tax technology: </w:t>
      </w:r>
      <w:r>
        <w:t xml:space="preserve">cloud-based AI tax demand projected to grow ~28% annually, with tax &amp; compliance the fastest-growing accounting segment as governments digitize reporting.</w:t>
      </w:r>
    </w:p>
    <w:p>
      <w:pPr>
        <w:pStyle w:val="ListParagraph"/>
        <w:numPr>
          <w:ilvl w:val="0"/>
          <w:numId w:val="2"/>
        </w:numPr>
        <w:spacing w:after="60" w:line="270"/>
      </w:pPr>
      <w:r>
        <w:rPr>
          <w:b/>
          <w:bCs/>
        </w:rPr>
        <w:t xml:space="preserve">Regulatory tailwind: </w:t>
      </w:r>
      <w:r>
        <w:t xml:space="preserve">mandatory e-invoicing/e-reporting is rolling out across the EU (ViDA mandatory intra-EU B2B by 2030), France (Sep 2026), Germany (2027), Poland &amp; Belgium (2026), plus India GST e-invoicing and UAE (2026–27) — each forcing automated, audit-ready compliance.</w:t>
      </w:r>
    </w:p>
    <w:p>
      <w:pPr>
        <w:spacing w:after="120" w:line="276"/>
      </w:pPr>
      <w:r>
        <w:t xml:space="preserve">Verra targets three buyer segments simultaneously through one platform: the ~1.5M+ accounting/tax/audit firms globally, the finance teams of mid-market and enterprise companies, and the long tail of individuals and small businesses — with firms as the primary go-to-market wedge.</w:t>
      </w:r>
    </w:p>
    <w:p>
      <w:pPr>
        <w:spacing w:after="120" w:line="276"/>
      </w:pPr>
      <w:r>
        <w:rPr>
          <w:i/>
          <w:iCs/>
          <w:color w:val="5B5B66"/>
        </w:rPr>
        <w:t xml:space="preserve">Sources: </w:t>
      </w:r>
      <w:r>
        <w:rPr>
          <w:i/>
          <w:iCs/>
          <w:color w:val="5B5B66"/>
          <w:sz w:val="18"/>
          <w:szCs w:val="18"/>
        </w:rPr>
        <w:t xml:space="preserve">Mordor Intelligence; Market Research Future; Vertex/Fonoa e-invoicing trackers; company disclosures. Figures are directional and should be validated before fundraising or board use.</w:t>
      </w:r>
    </w:p>
    <w:p>
      <w:pPr>
        <w:pStyle w:val="Heading1"/>
      </w:pPr>
      <w:r>
        <w:t xml:space="preserve">6. Competitive Landscape</w:t>
      </w:r>
    </w:p>
    <w:p>
      <w:pPr>
        <w:spacing w:after="120" w:line="276"/>
      </w:pPr>
      <w:r>
        <w:t xml:space="preserve">The market is fragmenting into point solutions by workflow. Verra's differentiation is breadth (one engine across all four domains), multi-tenancy (firms + companies + individuals), and multi-jurisdiction coverage — combined with ideation-grade UX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tblHeader/>
        </w:trPr>
        <w:tc>
          <w:tcPr>
            <w:tcW w:type="dxa" w:w="21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Player</w:t>
            </w:r>
          </w:p>
        </w:tc>
        <w:tc>
          <w:tcPr>
            <w:tcW w:type="dxa" w:w="37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Focus</w:t>
            </w:r>
          </w:p>
        </w:tc>
        <w:tc>
          <w:tcPr>
            <w:tcW w:type="dxa" w:w="35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Note</w:t>
            </w:r>
          </w:p>
        </w:tc>
      </w:tr>
      <w:tr>
        <w:tc>
          <w:tcPr>
            <w:tcW w:type="dxa" w:w="21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Ideation (Altruist)</w:t>
            </w:r>
          </w:p>
        </w:tc>
        <w:tc>
          <w:tcPr>
            <w:tcW w:type="dxa" w:w="3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AI assistant + tax planning for wealth advisors</w:t>
            </w:r>
          </w:p>
        </w:tc>
        <w:tc>
          <w:tcPr>
            <w:tcW w:type="dxa" w:w="3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UX benchmark; narrow to advisory/RIA tax</w:t>
            </w:r>
          </w:p>
        </w:tc>
      </w:tr>
      <w:tr>
        <w:tc>
          <w:tcPr>
            <w:tcW w:type="dxa" w:w="21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Basis</w:t>
            </w:r>
          </w:p>
        </w:tc>
        <w:tc>
          <w:tcPr>
            <w:tcW w:type="dxa" w:w="37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Agentic workflows across tax, audit, advisory for firms</w:t>
            </w:r>
          </w:p>
        </w:tc>
        <w:tc>
          <w:tcPr>
            <w:tcW w:type="dxa" w:w="35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~US$1.15B valuation; ~30% of Top-25 firms</w:t>
            </w:r>
          </w:p>
        </w:tc>
      </w:tr>
      <w:tr>
        <w:tc>
          <w:tcPr>
            <w:tcW w:type="dxa" w:w="21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Black Ore (Tax Autopilot)</w:t>
            </w:r>
          </w:p>
        </w:tc>
        <w:tc>
          <w:tcPr>
            <w:tcW w:type="dxa" w:w="3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AI federal/state tax compliance for CPAs</w:t>
            </w:r>
          </w:p>
        </w:tc>
        <w:tc>
          <w:tcPr>
            <w:tcW w:type="dxa" w:w="3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US-tax-return automation focus</w:t>
            </w:r>
          </w:p>
        </w:tc>
      </w:tr>
      <w:tr>
        <w:tc>
          <w:tcPr>
            <w:tcW w:type="dxa" w:w="21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Digits</w:t>
            </w:r>
          </w:p>
        </w:tc>
        <w:tc>
          <w:tcPr>
            <w:tcW w:type="dxa" w:w="37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Autonomous General Ledger + AI accounting agents</w:t>
            </w:r>
          </w:p>
        </w:tc>
        <w:tc>
          <w:tcPr>
            <w:tcW w:type="dxa" w:w="35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Bookkeeping/GL automation</w:t>
            </w:r>
          </w:p>
        </w:tc>
      </w:tr>
      <w:tr>
        <w:tc>
          <w:tcPr>
            <w:tcW w:type="dxa" w:w="21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TaxGPT</w:t>
            </w:r>
          </w:p>
        </w:tc>
        <w:tc>
          <w:tcPr>
            <w:tcW w:type="dxa" w:w="3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AI tax co-pilot for tax &amp; accounting firms</w:t>
            </w:r>
          </w:p>
        </w:tc>
        <w:tc>
          <w:tcPr>
            <w:tcW w:type="dxa" w:w="3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Research/answers co-pilot</w:t>
            </w:r>
          </w:p>
        </w:tc>
      </w:tr>
      <w:tr>
        <w:tc>
          <w:tcPr>
            <w:tcW w:type="dxa" w:w="21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MindBridge</w:t>
            </w:r>
          </w:p>
        </w:tc>
        <w:tc>
          <w:tcPr>
            <w:tcW w:type="dxa" w:w="37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AI audit anomaly detection (100% of transactions)</w:t>
            </w:r>
          </w:p>
        </w:tc>
        <w:tc>
          <w:tcPr>
            <w:tcW w:type="dxa" w:w="35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Audit analytics incumbent</w:t>
            </w:r>
          </w:p>
        </w:tc>
      </w:tr>
      <w:tr>
        <w:tc>
          <w:tcPr>
            <w:tcW w:type="dxa" w:w="21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DataSnipper / Trullion</w:t>
            </w:r>
          </w:p>
        </w:tc>
        <w:tc>
          <w:tcPr>
            <w:tcW w:type="dxa" w:w="3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Document extraction &amp; audit automation</w:t>
            </w:r>
          </w:p>
        </w:tc>
        <w:tc>
          <w:tcPr>
            <w:tcW w:type="dxa" w:w="3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Excel/audit evidence tooling</w:t>
            </w:r>
          </w:p>
        </w:tc>
      </w:tr>
    </w:tbl>
    <w:p>
      <w:pPr>
        <w:spacing w:after="120" w:line="276"/>
      </w:pPr>
      <w:r>
        <w:t xml:space="preserve">Whitespace: no incumbent unifies accounting + tax + audit + compliance for firms, companies and individuals on one multi-jurisdiction platform with consumer-grade UX. That is Verra's position.</w:t>
      </w:r>
    </w:p>
    <w:p>
      <w:pPr>
        <w:pStyle w:val="Heading1"/>
      </w:pPr>
      <w:r>
        <w:t xml:space="preserve">7. Stakeholders &amp; Personas</w:t>
      </w:r>
    </w:p>
    <w:p>
      <w:pPr>
        <w:pStyle w:val="Heading2"/>
      </w:pPr>
      <w:r>
        <w:t xml:space="preserve">7.1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Stakeholder</w:t>
            </w:r>
          </w:p>
        </w:tc>
        <w:tc>
          <w:tcPr>
            <w:tcW w:type="dxa" w:w="61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Interest</w:t>
            </w:r>
          </w:p>
        </w:tc>
      </w:tr>
      <w:tr>
        <w:tc>
          <w:tcPr>
            <w:tcW w:type="dxa" w:w="3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Firm partners / owners</w:t>
            </w:r>
          </w:p>
        </w:tc>
        <w:tc>
          <w:tcPr>
            <w:tcW w:type="dxa" w:w="6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Margin, capacity, quality, risk; buying decision</w:t>
            </w:r>
          </w:p>
        </w:tc>
      </w:tr>
      <w:tr>
        <w:tc>
          <w:tcPr>
            <w:tcW w:type="dxa" w:w="3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Preparers / associates / auditors</w:t>
            </w:r>
          </w:p>
        </w:tc>
        <w:tc>
          <w:tcPr>
            <w:tcW w:type="dxa" w:w="6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Daily users; want less drudgery, more confidence</w:t>
            </w:r>
          </w:p>
        </w:tc>
      </w:tr>
      <w:tr>
        <w:tc>
          <w:tcPr>
            <w:tcW w:type="dxa" w:w="3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Company controllers / CFOs</w:t>
            </w:r>
          </w:p>
        </w:tc>
        <w:tc>
          <w:tcPr>
            <w:tcW w:type="dxa" w:w="6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Faster close, audit-readiness, compliance control</w:t>
            </w:r>
          </w:p>
        </w:tc>
      </w:tr>
      <w:tr>
        <w:tc>
          <w:tcPr>
            <w:tcW w:type="dxa" w:w="3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Individual / SMB taxpayers</w:t>
            </w:r>
          </w:p>
        </w:tc>
        <w:tc>
          <w:tcPr>
            <w:tcW w:type="dxa" w:w="6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Clarity, savings, never missing a deadline</w:t>
            </w:r>
          </w:p>
        </w:tc>
      </w:tr>
      <w:tr>
        <w:tc>
          <w:tcPr>
            <w:tcW w:type="dxa" w:w="3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Compliance / risk / IT</w:t>
            </w:r>
          </w:p>
        </w:tc>
        <w:tc>
          <w:tcPr>
            <w:tcW w:type="dxa" w:w="6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Security, data residency, certifications, governance</w:t>
            </w:r>
          </w:p>
        </w:tc>
      </w:tr>
      <w:tr>
        <w:tc>
          <w:tcPr>
            <w:tcW w:type="dxa" w:w="3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Regulators (indirect)</w:t>
            </w:r>
          </w:p>
        </w:tc>
        <w:tc>
          <w:tcPr>
            <w:tcW w:type="dxa" w:w="6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Accuracy, auditability, professional responsibility</w:t>
            </w:r>
          </w:p>
        </w:tc>
      </w:tr>
    </w:tbl>
    <w:p>
      <w:pPr>
        <w:pStyle w:val="Heading2"/>
      </w:pPr>
      <w:r>
        <w:t xml:space="preserve">7.2 Primary personas</w:t>
      </w:r>
    </w:p>
    <w:p>
      <w:pPr>
        <w:pStyle w:val="Heading3"/>
      </w:pPr>
      <w:r>
        <w:t xml:space="preserve">Priya — Tax manager at a mid-size firm (primary, firm)</w:t>
      </w:r>
    </w:p>
    <w:p>
      <w:pPr>
        <w:spacing w:after="120" w:line="276"/>
      </w:pPr>
      <w:r>
        <w:t xml:space="preserve">Manages 140+ client households through tax season. Needs to scale high-quality planning across a junior team and quantify advisory value. Verra prepares analyses and scenarios she reviews and signs off.</w:t>
      </w:r>
    </w:p>
    <w:p>
      <w:pPr>
        <w:pStyle w:val="Heading3"/>
      </w:pPr>
      <w:r>
        <w:t xml:space="preserve">David — Controller at a multi-entity company</w:t>
      </w:r>
    </w:p>
    <w:p>
      <w:pPr>
        <w:spacing w:after="120" w:line="276"/>
      </w:pPr>
      <w:r>
        <w:t xml:space="preserve">Owns a 3-entity, multi-currency close and the audit relationship. Needs a faster close and continuous audit-readiness with controls and an audit trail.</w:t>
      </w:r>
    </w:p>
    <w:p>
      <w:pPr>
        <w:pStyle w:val="Heading3"/>
      </w:pPr>
      <w:r>
        <w:t xml:space="preserve">Sofia — Individual / small-business owner</w:t>
      </w:r>
    </w:p>
    <w:p>
      <w:pPr>
        <w:spacing w:after="120" w:line="276"/>
      </w:pPr>
      <w:r>
        <w:t xml:space="preserve">Wants to understand her taxes, capture every deduction, never miss a filing, and share securely with her accountant.</w:t>
      </w:r>
    </w:p>
    <w:p>
      <w:pPr>
        <w:pStyle w:val="Heading1"/>
      </w:pPr>
      <w:r>
        <w:t xml:space="preserve">8. Scope</w:t>
      </w:r>
    </w:p>
    <w:p>
      <w:pPr>
        <w:pStyle w:val="Heading2"/>
      </w:pPr>
      <w:r>
        <w:t xml:space="preserve">8.1 In scope</w:t>
      </w:r>
    </w:p>
    <w:p>
      <w:pPr>
        <w:pStyle w:val="ListParagraph"/>
        <w:numPr>
          <w:ilvl w:val="0"/>
          <w:numId w:val="2"/>
        </w:numPr>
        <w:spacing w:after="60" w:line="270"/>
      </w:pPr>
      <w:r>
        <w:t xml:space="preserve">Multi-tenant platform with firm / company / individual experiences.</w:t>
      </w:r>
    </w:p>
    <w:p>
      <w:pPr>
        <w:pStyle w:val="ListParagraph"/>
        <w:numPr>
          <w:ilvl w:val="0"/>
          <w:numId w:val="2"/>
        </w:numPr>
        <w:spacing w:after="60" w:line="270"/>
      </w:pPr>
      <w:r>
        <w:t xml:space="preserve">AI Assistant (conversational, modal, cited) and Daily Digest.</w:t>
      </w:r>
    </w:p>
    <w:p>
      <w:pPr>
        <w:pStyle w:val="ListParagraph"/>
        <w:numPr>
          <w:ilvl w:val="0"/>
          <w:numId w:val="2"/>
        </w:numPr>
        <w:spacing w:after="60" w:line="270"/>
      </w:pPr>
      <w:r>
        <w:t xml:space="preserve">Tax planning &amp; filing preparation (MVP, deepest).</w:t>
      </w:r>
    </w:p>
    <w:p>
      <w:pPr>
        <w:pStyle w:val="ListParagraph"/>
        <w:numPr>
          <w:ilvl w:val="0"/>
          <w:numId w:val="2"/>
        </w:numPr>
        <w:spacing w:after="60" w:line="270"/>
      </w:pPr>
      <w:r>
        <w:t xml:space="preserve">Books &amp; close automation, audit &amp; assurance, compliance calendar (phased).</w:t>
      </w:r>
    </w:p>
    <w:p>
      <w:pPr>
        <w:pStyle w:val="ListParagraph"/>
        <w:numPr>
          <w:ilvl w:val="0"/>
          <w:numId w:val="2"/>
        </w:numPr>
        <w:spacing w:after="60" w:line="270"/>
      </w:pPr>
      <w:r>
        <w:t xml:space="preserve">Document ingestion &amp; parsing; integrations with ledgers, banks, CRM, email/calendar.</w:t>
      </w:r>
    </w:p>
    <w:p>
      <w:pPr>
        <w:pStyle w:val="ListParagraph"/>
        <w:numPr>
          <w:ilvl w:val="0"/>
          <w:numId w:val="2"/>
        </w:numPr>
        <w:spacing w:after="60" w:line="270"/>
      </w:pPr>
      <w:r>
        <w:t xml:space="preserve">Trust layer: citations, approval gates, immutable audit log; security &amp; governance controls.</w:t>
      </w:r>
    </w:p>
    <w:p>
      <w:pPr>
        <w:pStyle w:val="ListParagraph"/>
        <w:numPr>
          <w:ilvl w:val="0"/>
          <w:numId w:val="2"/>
        </w:numPr>
        <w:spacing w:after="60" w:line="270"/>
      </w:pPr>
      <w:r>
        <w:t xml:space="preserve">Initial jurisdictions: US, UK, India (configurable framework for more).</w:t>
      </w:r>
    </w:p>
    <w:p>
      <w:pPr>
        <w:pStyle w:val="Heading2"/>
      </w:pPr>
      <w:r>
        <w:t xml:space="preserve">8.2 Out of scope (initial)</w:t>
      </w:r>
    </w:p>
    <w:p>
      <w:pPr>
        <w:pStyle w:val="ListParagraph"/>
        <w:numPr>
          <w:ilvl w:val="0"/>
          <w:numId w:val="2"/>
        </w:numPr>
        <w:spacing w:after="60" w:line="270"/>
      </w:pPr>
      <w:r>
        <w:t xml:space="preserve">Acting as the system of record / general ledger of truth (Verra integrates with existing ledgers initially).</w:t>
      </w:r>
    </w:p>
    <w:p>
      <w:pPr>
        <w:pStyle w:val="ListParagraph"/>
        <w:numPr>
          <w:ilvl w:val="0"/>
          <w:numId w:val="2"/>
        </w:numPr>
        <w:spacing w:after="60" w:line="270"/>
      </w:pPr>
      <w:r>
        <w:t xml:space="preserve">Filing as an authorized e-file intermediary in all jurisdictions at launch (prep-and-export first; direct e-file phased).</w:t>
      </w:r>
    </w:p>
    <w:p>
      <w:pPr>
        <w:pStyle w:val="ListParagraph"/>
        <w:numPr>
          <w:ilvl w:val="0"/>
          <w:numId w:val="2"/>
        </w:numPr>
        <w:spacing w:after="60" w:line="270"/>
      </w:pPr>
      <w:r>
        <w:t xml:space="preserve">Providing tax/legal/financial advice autonomously — Verra outputs are analysis and drafts for licensed-professional review.</w:t>
      </w:r>
    </w:p>
    <w:p>
      <w:pPr>
        <w:pStyle w:val="ListParagraph"/>
        <w:numPr>
          <w:ilvl w:val="0"/>
          <w:numId w:val="2"/>
        </w:numPr>
        <w:spacing w:after="60" w:line="270"/>
      </w:pPr>
      <w:r>
        <w:t xml:space="preserve">Payroll processing and banking/payments execution.</w:t>
      </w:r>
    </w:p>
    <w:p>
      <w:pPr>
        <w:pStyle w:val="Heading1"/>
      </w:pPr>
      <w:r>
        <w:t xml:space="preserve">9. Business Requirements</w:t>
      </w:r>
    </w:p>
    <w:p>
      <w:pPr>
        <w:spacing w:after="120" w:line="276"/>
      </w:pPr>
      <w:r>
        <w:t xml:space="preserve">Business-level requirements (BR). Detailed functional and non-functional requirements are specified in the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60"/>
        <w:gridCol w:w="1000"/>
      </w:tblGrid>
      <w:tr>
        <w:trPr>
          <w:tblHeader/>
        </w:trPr>
        <w:tc>
          <w:tcPr>
            <w:tcW w:type="dxa" w:w="9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ID</w:t>
            </w:r>
          </w:p>
        </w:tc>
        <w:tc>
          <w:tcPr>
            <w:tcW w:type="dxa" w:w="74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Business requirement</w:t>
            </w:r>
          </w:p>
        </w:tc>
        <w:tc>
          <w:tcPr>
            <w:tcW w:type="dxa" w:w="10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Priority</w:t>
            </w:r>
          </w:p>
        </w:tc>
      </w:tr>
      <w:tr>
        <w:tc>
          <w:tcPr>
            <w:tcW w:type="dxa" w:w="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BR-1</w:t>
            </w:r>
          </w:p>
        </w:tc>
        <w:tc>
          <w:tcPr>
            <w:tcW w:type="dxa" w:w="7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Ingest and understand client financial documents (1040s, returns, statements, ledgers) once and reuse across modules</w:t>
            </w:r>
          </w:p>
        </w:tc>
        <w:tc>
          <w:tcPr>
            <w:tcW w:type="dxa" w:w="1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Must</w:t>
            </w:r>
          </w:p>
        </w:tc>
      </w:tr>
      <w:tr>
        <w:tc>
          <w:tcPr>
            <w:tcW w:type="dxa" w:w="9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BR-2</w:t>
            </w:r>
          </w:p>
        </w:tc>
        <w:tc>
          <w:tcPr>
            <w:tcW w:type="dxa" w:w="74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Generate cited, defensible tax analyses and scenario comparisons in minutes</w:t>
            </w:r>
          </w:p>
        </w:tc>
        <w:tc>
          <w:tcPr>
            <w:tcW w:type="dxa" w:w="1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Must</w:t>
            </w:r>
          </w:p>
        </w:tc>
      </w:tr>
      <w:tr>
        <w:tc>
          <w:tcPr>
            <w:tcW w:type="dxa" w:w="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BR-3</w:t>
            </w:r>
          </w:p>
        </w:tc>
        <w:tc>
          <w:tcPr>
            <w:tcW w:type="dxa" w:w="7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Require human approval before anything is sent, filed, or relied upon</w:t>
            </w:r>
          </w:p>
        </w:tc>
        <w:tc>
          <w:tcPr>
            <w:tcW w:type="dxa" w:w="1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Must</w:t>
            </w:r>
          </w:p>
        </w:tc>
      </w:tr>
      <w:tr>
        <w:tc>
          <w:tcPr>
            <w:tcW w:type="dxa" w:w="9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BR-4</w:t>
            </w:r>
          </w:p>
        </w:tc>
        <w:tc>
          <w:tcPr>
            <w:tcW w:type="dxa" w:w="74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Maintain an immutable audit trail of every AI action, source and approval</w:t>
            </w:r>
          </w:p>
        </w:tc>
        <w:tc>
          <w:tcPr>
            <w:tcW w:type="dxa" w:w="1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Must</w:t>
            </w:r>
          </w:p>
        </w:tc>
      </w:tr>
      <w:tr>
        <w:tc>
          <w:tcPr>
            <w:tcW w:type="dxa" w:w="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BR-5</w:t>
            </w:r>
          </w:p>
        </w:tc>
        <w:tc>
          <w:tcPr>
            <w:tcW w:type="dxa" w:w="7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Support multiple jurisdictions' rules, forms and deadlines via configuration</w:t>
            </w:r>
          </w:p>
        </w:tc>
        <w:tc>
          <w:tcPr>
            <w:tcW w:type="dxa" w:w="1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Must</w:t>
            </w:r>
          </w:p>
        </w:tc>
      </w:tr>
      <w:tr>
        <w:tc>
          <w:tcPr>
            <w:tcW w:type="dxa" w:w="9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BR-6</w:t>
            </w:r>
          </w:p>
        </w:tc>
        <w:tc>
          <w:tcPr>
            <w:tcW w:type="dxa" w:w="74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Serve firm, company and individual tenants with role-based experiences</w:t>
            </w:r>
          </w:p>
        </w:tc>
        <w:tc>
          <w:tcPr>
            <w:tcW w:type="dxa" w:w="1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Must</w:t>
            </w:r>
          </w:p>
        </w:tc>
      </w:tr>
      <w:tr>
        <w:tc>
          <w:tcPr>
            <w:tcW w:type="dxa" w:w="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BR-7</w:t>
            </w:r>
          </w:p>
        </w:tc>
        <w:tc>
          <w:tcPr>
            <w:tcW w:type="dxa" w:w="7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Automate transaction categorization, reconciliation and month-end close with exception review</w:t>
            </w:r>
          </w:p>
        </w:tc>
        <w:tc>
          <w:tcPr>
            <w:tcW w:type="dxa" w:w="1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Should</w:t>
            </w:r>
          </w:p>
        </w:tc>
      </w:tr>
      <w:tr>
        <w:tc>
          <w:tcPr>
            <w:tcW w:type="dxa" w:w="9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BR-8</w:t>
            </w:r>
          </w:p>
        </w:tc>
        <w:tc>
          <w:tcPr>
            <w:tcW w:type="dxa" w:w="74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Test 100% of transactions for anomalies and assemble audit-ready workpapers</w:t>
            </w:r>
          </w:p>
        </w:tc>
        <w:tc>
          <w:tcPr>
            <w:tcW w:type="dxa" w:w="1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Should</w:t>
            </w:r>
          </w:p>
        </w:tc>
      </w:tr>
      <w:tr>
        <w:tc>
          <w:tcPr>
            <w:tcW w:type="dxa" w:w="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BR-9</w:t>
            </w:r>
          </w:p>
        </w:tc>
        <w:tc>
          <w:tcPr>
            <w:tcW w:type="dxa" w:w="7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Provide a living, multi-jurisdiction compliance calendar with reminders and prep</w:t>
            </w:r>
          </w:p>
        </w:tc>
        <w:tc>
          <w:tcPr>
            <w:tcW w:type="dxa" w:w="1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Should</w:t>
            </w:r>
          </w:p>
        </w:tc>
      </w:tr>
      <w:tr>
        <w:tc>
          <w:tcPr>
            <w:tcW w:type="dxa" w:w="9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BR-10</w:t>
            </w:r>
          </w:p>
        </w:tc>
        <w:tc>
          <w:tcPr>
            <w:tcW w:type="dxa" w:w="74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Meet enterprise security &amp; privacy standards (SOC 2, ISO 27001, GDPR/DPDP, zero-retention AI)</w:t>
            </w:r>
          </w:p>
        </w:tc>
        <w:tc>
          <w:tcPr>
            <w:tcW w:type="dxa" w:w="1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Must</w:t>
            </w:r>
          </w:p>
        </w:tc>
      </w:tr>
      <w:tr>
        <w:tc>
          <w:tcPr>
            <w:tcW w:type="dxa" w:w="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BR-11</w:t>
            </w:r>
          </w:p>
        </w:tc>
        <w:tc>
          <w:tcPr>
            <w:tcW w:type="dxa" w:w="7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Integrate with ledgers, banks, CRM and email/calendar</w:t>
            </w:r>
          </w:p>
        </w:tc>
        <w:tc>
          <w:tcPr>
            <w:tcW w:type="dxa" w:w="1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Should</w:t>
            </w:r>
          </w:p>
        </w:tc>
      </w:tr>
      <w:tr>
        <w:tc>
          <w:tcPr>
            <w:tcW w:type="dxa" w:w="9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BR-12</w:t>
            </w:r>
          </w:p>
        </w:tc>
        <w:tc>
          <w:tcPr>
            <w:tcW w:type="dxa" w:w="74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Produce client-ready outputs (letters, interactive reports, talking points) in one click</w:t>
            </w:r>
          </w:p>
        </w:tc>
        <w:tc>
          <w:tcPr>
            <w:tcW w:type="dxa" w:w="1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Should</w:t>
            </w:r>
          </w:p>
        </w:tc>
      </w:tr>
    </w:tbl>
    <w:p>
      <w:pPr>
        <w:pStyle w:val="Heading1"/>
      </w:pPr>
      <w:r>
        <w:t xml:space="preserve">10. Assumptions, Constraints &amp; Dependencies</w:t>
      </w:r>
    </w:p>
    <w:p>
      <w:pPr>
        <w:pStyle w:val="Heading2"/>
      </w:pPr>
      <w:r>
        <w:t xml:space="preserve">10.1 Assumptions</w:t>
      </w:r>
    </w:p>
    <w:p>
      <w:pPr>
        <w:pStyle w:val="ListParagraph"/>
        <w:numPr>
          <w:ilvl w:val="0"/>
          <w:numId w:val="2"/>
        </w:numPr>
        <w:spacing w:after="60" w:line="270"/>
      </w:pPr>
      <w:r>
        <w:t xml:space="preserve">Firms will adopt AI that augments (not replaces) licensed judgment and keeps them in control.</w:t>
      </w:r>
    </w:p>
    <w:p>
      <w:pPr>
        <w:pStyle w:val="ListParagraph"/>
        <w:numPr>
          <w:ilvl w:val="0"/>
          <w:numId w:val="2"/>
        </w:numPr>
        <w:spacing w:after="60" w:line="270"/>
      </w:pPr>
      <w:r>
        <w:t xml:space="preserve">Customers accept zero-retention third-party model use under appropriate contracts.</w:t>
      </w:r>
    </w:p>
    <w:p>
      <w:pPr>
        <w:pStyle w:val="ListParagraph"/>
        <w:numPr>
          <w:ilvl w:val="0"/>
          <w:numId w:val="2"/>
        </w:numPr>
        <w:spacing w:after="60" w:line="270"/>
      </w:pPr>
      <w:r>
        <w:t xml:space="preserve">Source documents are obtainable (uploads or integrations) in sufficient quality for parsing.</w:t>
      </w:r>
    </w:p>
    <w:p>
      <w:pPr>
        <w:pStyle w:val="Heading2"/>
      </w:pPr>
      <w:r>
        <w:t xml:space="preserve">10.2 Constraints</w:t>
      </w:r>
    </w:p>
    <w:p>
      <w:pPr>
        <w:pStyle w:val="ListParagraph"/>
        <w:numPr>
          <w:ilvl w:val="0"/>
          <w:numId w:val="2"/>
        </w:numPr>
        <w:spacing w:after="60" w:line="270"/>
      </w:pPr>
      <w:r>
        <w:t xml:space="preserve">Regulatory: outputs are not advice; professional responsibility and unauthorized-practice rules apply.</w:t>
      </w:r>
    </w:p>
    <w:p>
      <w:pPr>
        <w:pStyle w:val="ListParagraph"/>
        <w:numPr>
          <w:ilvl w:val="0"/>
          <w:numId w:val="2"/>
        </w:numPr>
        <w:spacing w:after="60" w:line="270"/>
      </w:pPr>
      <w:r>
        <w:t xml:space="preserve">Data residency / sovereignty requirements vary by jurisdiction (e.g., India DPDP, EU GDPR).</w:t>
      </w:r>
    </w:p>
    <w:p>
      <w:pPr>
        <w:pStyle w:val="ListParagraph"/>
        <w:numPr>
          <w:ilvl w:val="0"/>
          <w:numId w:val="2"/>
        </w:numPr>
        <w:spacing w:after="60" w:line="270"/>
      </w:pPr>
      <w:r>
        <w:t xml:space="preserve">Tax logic must be jurisdiction-accurate and versioned by tax year.</w:t>
      </w:r>
    </w:p>
    <w:p>
      <w:pPr>
        <w:pStyle w:val="Heading2"/>
      </w:pPr>
      <w:r>
        <w:t xml:space="preserve">10.3 Dependencies</w:t>
      </w:r>
    </w:p>
    <w:p>
      <w:pPr>
        <w:pStyle w:val="ListParagraph"/>
        <w:numPr>
          <w:ilvl w:val="0"/>
          <w:numId w:val="2"/>
        </w:numPr>
        <w:spacing w:after="60" w:line="270"/>
      </w:pPr>
      <w:r>
        <w:t xml:space="preserve">LLM provider(s) with enterprise zero-retention terms; document OCR/parsing pipeline.</w:t>
      </w:r>
    </w:p>
    <w:p>
      <w:pPr>
        <w:pStyle w:val="ListParagraph"/>
        <w:numPr>
          <w:ilvl w:val="0"/>
          <w:numId w:val="2"/>
        </w:numPr>
        <w:spacing w:after="60" w:line="270"/>
      </w:pPr>
      <w:r>
        <w:t xml:space="preserve">Integration partners: QuickBooks, Xero, banking aggregation (e.g., Plaid), CRM, e-file/portal gateways (IRS MeF, GSTN, Companies House).</w:t>
      </w:r>
    </w:p>
    <w:p>
      <w:pPr>
        <w:pStyle w:val="ListParagraph"/>
        <w:numPr>
          <w:ilvl w:val="0"/>
          <w:numId w:val="2"/>
        </w:numPr>
        <w:spacing w:after="60" w:line="270"/>
      </w:pPr>
      <w:r>
        <w:t xml:space="preserve">Security certifications and audits.</w:t>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560"/>
      </w:tblGrid>
      <w:tr>
        <w:trPr>
          <w:tblHeader/>
        </w:trPr>
        <w:tc>
          <w:tcPr>
            <w:tcW w:type="dxa" w:w="27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Risk</w:t>
            </w:r>
          </w:p>
        </w:tc>
        <w:tc>
          <w:tcPr>
            <w:tcW w:type="dxa" w:w="11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Impact</w:t>
            </w:r>
          </w:p>
        </w:tc>
        <w:tc>
          <w:tcPr>
            <w:tcW w:type="dxa" w:w="55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Mitigation</w:t>
            </w:r>
          </w:p>
        </w:tc>
      </w:tr>
      <w:tr>
        <w:tc>
          <w:tcPr>
            <w:tcW w:type="dxa" w:w="27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AI produces inaccurate tax/audit output</w:t>
            </w:r>
          </w:p>
        </w:tc>
        <w:tc>
          <w:tcPr>
            <w:tcW w:type="dxa" w:w="11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High</w:t>
            </w:r>
          </w:p>
        </w:tc>
        <w:tc>
          <w:tcPr>
            <w:tcW w:type="dxa" w:w="5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Human-approval gates; citations; confidence thresholds; eval suites; professional sign-off</w:t>
            </w:r>
          </w:p>
        </w:tc>
      </w:tr>
      <w:tr>
        <w:tc>
          <w:tcPr>
            <w:tcW w:type="dxa" w:w="27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Regulatory / liability exposure</w:t>
            </w:r>
          </w:p>
        </w:tc>
        <w:tc>
          <w:tcPr>
            <w:tcW w:type="dxa" w:w="11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High</w:t>
            </w:r>
          </w:p>
        </w:tc>
        <w:tc>
          <w:tcPr>
            <w:tcW w:type="dxa" w:w="5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Position as analysis+drafts; clear disclaimers; jurisdiction-versioned logic; professional ownership</w:t>
            </w:r>
          </w:p>
        </w:tc>
      </w:tr>
      <w:tr>
        <w:tc>
          <w:tcPr>
            <w:tcW w:type="dxa" w:w="27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Data breach / privacy violation</w:t>
            </w:r>
          </w:p>
        </w:tc>
        <w:tc>
          <w:tcPr>
            <w:tcW w:type="dxa" w:w="11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High</w:t>
            </w:r>
          </w:p>
        </w:tc>
        <w:tc>
          <w:tcPr>
            <w:tcW w:type="dxa" w:w="5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Encryption, RBAC, SOC 2/ISO 27001, zero-retention AI, data-residency options</w:t>
            </w:r>
          </w:p>
        </w:tc>
      </w:tr>
      <w:tr>
        <w:tc>
          <w:tcPr>
            <w:tcW w:type="dxa" w:w="27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Multi-jurisdiction complexity</w:t>
            </w:r>
          </w:p>
        </w:tc>
        <w:tc>
          <w:tcPr>
            <w:tcW w:type="dxa" w:w="11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Med</w:t>
            </w:r>
          </w:p>
        </w:tc>
        <w:tc>
          <w:tcPr>
            <w:tcW w:type="dxa" w:w="5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Configurable rules engine; launch 3 jurisdictions; partner with local experts</w:t>
            </w:r>
          </w:p>
        </w:tc>
      </w:tr>
      <w:tr>
        <w:tc>
          <w:tcPr>
            <w:tcW w:type="dxa" w:w="27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Incumbent/competitor speed</w:t>
            </w:r>
          </w:p>
        </w:tc>
        <w:tc>
          <w:tcPr>
            <w:tcW w:type="dxa" w:w="11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Med</w:t>
            </w:r>
          </w:p>
        </w:tc>
        <w:tc>
          <w:tcPr>
            <w:tcW w:type="dxa" w:w="5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UX + breadth differentiation; design-partner wedge; fast MVP in tax</w:t>
            </w:r>
          </w:p>
        </w:tc>
      </w:tr>
      <w:tr>
        <w:tc>
          <w:tcPr>
            <w:tcW w:type="dxa" w:w="27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Adoption / change management</w:t>
            </w:r>
          </w:p>
        </w:tc>
        <w:tc>
          <w:tcPr>
            <w:tcW w:type="dxa" w:w="11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Med</w:t>
            </w:r>
          </w:p>
        </w:tc>
        <w:tc>
          <w:tcPr>
            <w:tcW w:type="dxa" w:w="5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Human-in-loop framing; guided workflows; ROI dashboards; onboarding</w:t>
            </w:r>
          </w:p>
        </w:tc>
      </w:tr>
      <w:tr>
        <w:tc>
          <w:tcPr>
            <w:tcW w:type="dxa" w:w="27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Model cost / margin</w:t>
            </w:r>
          </w:p>
        </w:tc>
        <w:tc>
          <w:tcPr>
            <w:tcW w:type="dxa" w:w="11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Med</w:t>
            </w:r>
          </w:p>
        </w:tc>
        <w:tc>
          <w:tcPr>
            <w:tcW w:type="dxa" w:w="5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Model routing (small models for routine tasks); caching; usage controls</w:t>
            </w:r>
          </w:p>
        </w:tc>
      </w:tr>
    </w:tbl>
    <w:p>
      <w:pPr>
        <w:pStyle w:val="Heading1"/>
      </w:pPr>
      <w:r>
        <w:t xml:space="preserve">12. Regulatory &amp; Compliance Considerations</w:t>
      </w:r>
    </w:p>
    <w:p>
      <w:pPr>
        <w:spacing w:after="120" w:line="276"/>
      </w:pPr>
      <w:r>
        <w:t xml:space="preserve">Because tax, audit and compliance are jurisdiction-specific, Verra is built on a configurable framework. Initial coverage and the standards that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Jurisdiction</w:t>
            </w:r>
          </w:p>
        </w:tc>
        <w:tc>
          <w:tcPr>
            <w:tcW w:type="dxa" w:w="35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Key bodies / regimes</w:t>
            </w:r>
          </w:p>
        </w:tc>
        <w:tc>
          <w:tcPr>
            <w:tcW w:type="dxa" w:w="38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Examples handled</w:t>
            </w:r>
          </w:p>
        </w:tc>
      </w:tr>
      <w:tr>
        <w:tc>
          <w:tcPr>
            <w:tcW w:type="dxa" w:w="2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United States</w:t>
            </w:r>
          </w:p>
        </w:tc>
        <w:tc>
          <w:tcPr>
            <w:tcW w:type="dxa" w:w="3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IRS, US GAAP, AICPA/PCAOB, SEC, states</w:t>
            </w:r>
          </w:p>
        </w:tc>
        <w:tc>
          <w:tcPr>
            <w:tcW w:type="dxa" w:w="38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Form 1040/1120/941, e-file (MeF), state filings</w:t>
            </w:r>
          </w:p>
        </w:tc>
      </w:tr>
      <w:tr>
        <w:tc>
          <w:tcPr>
            <w:tcW w:type="dxa" w:w="2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United Kingdom</w:t>
            </w:r>
          </w:p>
        </w:tc>
        <w:tc>
          <w:tcPr>
            <w:tcW w:type="dxa" w:w="3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HMRC, FRC, Companies House, UK GAAP/IFRS</w:t>
            </w:r>
          </w:p>
        </w:tc>
        <w:tc>
          <w:tcPr>
            <w:tcW w:type="dxa" w:w="38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VAT returns, statutory audit, corporation tax</w:t>
            </w:r>
          </w:p>
        </w:tc>
      </w:tr>
      <w:tr>
        <w:tc>
          <w:tcPr>
            <w:tcW w:type="dxa" w:w="2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India</w:t>
            </w:r>
          </w:p>
        </w:tc>
        <w:tc>
          <w:tcPr>
            <w:tcW w:type="dxa" w:w="3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Income Tax Act, GST/GSTN, MCA/ROC, ICAI</w:t>
            </w:r>
          </w:p>
        </w:tc>
        <w:tc>
          <w:tcPr>
            <w:tcW w:type="dxa" w:w="38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GSTR-3B/2B, TDS, ROC filings, tax audit</w:t>
            </w:r>
          </w:p>
        </w:tc>
      </w:tr>
      <w:tr>
        <w:tc>
          <w:tcPr>
            <w:tcW w:type="dxa" w:w="2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EU (framework)</w:t>
            </w:r>
          </w:p>
        </w:tc>
        <w:tc>
          <w:tcPr>
            <w:tcW w:type="dxa" w:w="3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ViDA, Peppol, national VAT regimes</w:t>
            </w:r>
          </w:p>
        </w:tc>
        <w:tc>
          <w:tcPr>
            <w:tcW w:type="dxa" w:w="38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e-invoicing/e-reporting, VAT (phased)</w:t>
            </w:r>
          </w:p>
        </w:tc>
      </w:tr>
    </w:tbl>
    <w:p>
      <w:pPr>
        <w:spacing w:after="120" w:line="276"/>
      </w:pPr>
      <w:r>
        <w:t xml:space="preserve">Cross-cutting: data protection (GDPR, India DPDP), professional-responsibility and unauthorized-practice rules, AI-governance/transparency expectations, and records-retention requirements.</w:t>
      </w:r>
    </w:p>
    <w:p>
      <w:pPr>
        <w:pStyle w:val="Heading1"/>
      </w:pPr>
      <w:r>
        <w:t xml:space="preserve">13. High-Level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Phase</w:t>
            </w:r>
          </w:p>
        </w:tc>
        <w:tc>
          <w:tcPr>
            <w:tcW w:type="dxa" w:w="19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Timeframe</w:t>
            </w:r>
          </w:p>
        </w:tc>
        <w:tc>
          <w:tcPr>
            <w:tcW w:type="dxa" w:w="54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Outcome</w:t>
            </w:r>
          </w:p>
        </w:tc>
      </w:tr>
      <w:tr>
        <w:tc>
          <w:tcPr>
            <w:tcW w:type="dxa" w:w="2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Discovery &amp; design</w:t>
            </w:r>
          </w:p>
        </w:tc>
        <w:tc>
          <w:tcPr>
            <w:tcW w:type="dxa" w:w="1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Months 0–2</w:t>
            </w:r>
          </w:p>
        </w:tc>
        <w:tc>
          <w:tcPr>
            <w:tcW w:type="dxa" w:w="5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Validated flows, design system, architecture, design-partner LOIs</w:t>
            </w:r>
          </w:p>
        </w:tc>
      </w:tr>
      <w:tr>
        <w:tc>
          <w:tcPr>
            <w:tcW w:type="dxa" w:w="2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MVP — Tax</w:t>
            </w:r>
          </w:p>
        </w:tc>
        <w:tc>
          <w:tcPr>
            <w:tcW w:type="dxa" w:w="19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Months 2–6</w:t>
            </w:r>
          </w:p>
        </w:tc>
        <w:tc>
          <w:tcPr>
            <w:tcW w:type="dxa" w:w="54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Tax planning + filing prep (US), assistant, digest, trust layer; private beta</w:t>
            </w:r>
          </w:p>
        </w:tc>
      </w:tr>
      <w:tr>
        <w:tc>
          <w:tcPr>
            <w:tcW w:type="dxa" w:w="2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Beta expansion</w:t>
            </w:r>
          </w:p>
        </w:tc>
        <w:tc>
          <w:tcPr>
            <w:tcW w:type="dxa" w:w="1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Months 6–9</w:t>
            </w:r>
          </w:p>
        </w:tc>
        <w:tc>
          <w:tcPr>
            <w:tcW w:type="dxa" w:w="5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Books &amp; close, compliance calendar; add UK + India; 10–15 firms</w:t>
            </w:r>
          </w:p>
        </w:tc>
      </w:tr>
      <w:tr>
        <w:tc>
          <w:tcPr>
            <w:tcW w:type="dxa" w:w="2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GA v1</w:t>
            </w:r>
          </w:p>
        </w:tc>
        <w:tc>
          <w:tcPr>
            <w:tcW w:type="dxa" w:w="19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Months 9–12</w:t>
            </w:r>
          </w:p>
        </w:tc>
        <w:tc>
          <w:tcPr>
            <w:tcW w:type="dxa" w:w="54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Audit module, client portals, SOC 2; general availability</w:t>
            </w:r>
          </w:p>
        </w:tc>
      </w:tr>
      <w:tr>
        <w:tc>
          <w:tcPr>
            <w:tcW w:type="dxa" w:w="2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Scale v2</w:t>
            </w:r>
          </w:p>
        </w:tc>
        <w:tc>
          <w:tcPr>
            <w:tcW w:type="dxa" w:w="19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Months 12–18</w:t>
            </w:r>
          </w:p>
        </w:tc>
        <w:tc>
          <w:tcPr>
            <w:tcW w:type="dxa" w:w="54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More jurisdictions, direct e-file, marketplace/integrations, enterprise</w:t>
            </w:r>
          </w:p>
        </w:tc>
      </w:tr>
    </w:tbl>
    <w:p>
      <w:pPr>
        <w:pStyle w:val="Heading1"/>
      </w:pPr>
      <w:r>
        <w:t xml:space="preserve">14. Business Model</w:t>
      </w:r>
    </w:p>
    <w:p>
      <w:pPr>
        <w:spacing w:after="120" w:line="276"/>
      </w:pPr>
      <w:r>
        <w:t xml:space="preserve">Per-seat SaaS subscription with tiered packaging, mirroring the validated structure in the category:</w:t>
      </w:r>
    </w:p>
    <w:p>
      <w:pPr>
        <w:pStyle w:val="ListParagraph"/>
        <w:numPr>
          <w:ilvl w:val="0"/>
          <w:numId w:val="2"/>
        </w:numPr>
        <w:spacing w:after="60" w:line="270"/>
      </w:pPr>
      <w:r>
        <w:rPr>
          <w:b/>
          <w:bCs/>
        </w:rPr>
        <w:t xml:space="preserve">Admin AI — ~US$50/seat/mo: </w:t>
      </w:r>
      <w:r>
        <w:t xml:space="preserve">assistant, digest, notetaking, inbox triage, document parsing.</w:t>
      </w:r>
    </w:p>
    <w:p>
      <w:pPr>
        <w:pStyle w:val="ListParagraph"/>
        <w:numPr>
          <w:ilvl w:val="0"/>
          <w:numId w:val="2"/>
        </w:numPr>
        <w:spacing w:after="60" w:line="270"/>
      </w:pPr>
      <w:r>
        <w:rPr>
          <w:b/>
          <w:bCs/>
        </w:rPr>
        <w:t xml:space="preserve">Admin AI + Tax &amp; Compliance — ~US$125/seat/mo: </w:t>
      </w:r>
      <w:r>
        <w:t xml:space="preserve">tax synthesis &amp; scenarios, opportunity insights, compliance calendar, audit workpapers.</w:t>
      </w:r>
    </w:p>
    <w:p>
      <w:pPr>
        <w:pStyle w:val="ListParagraph"/>
        <w:numPr>
          <w:ilvl w:val="0"/>
          <w:numId w:val="2"/>
        </w:numPr>
        <w:spacing w:after="60" w:line="270"/>
      </w:pPr>
      <w:r>
        <w:rPr>
          <w:b/>
          <w:bCs/>
        </w:rPr>
        <w:t xml:space="preserve">Enterprise — custom: </w:t>
      </w:r>
      <w:r>
        <w:t xml:space="preserve">SSO/SCIM, custom jurisdictions/models, dedicated success and SLAs.</w:t>
      </w:r>
    </w:p>
    <w:p>
      <w:pPr>
        <w:spacing w:after="120" w:line="276"/>
      </w:pPr>
      <w:r>
        <w:t xml:space="preserve">Expansion path: land on tax, expand into books, audit and compliance; grow seats and tenants (firm → its clients).</w:t>
      </w:r>
    </w:p>
    <w:p>
      <w:pPr>
        <w:pStyle w:val="Heading1"/>
      </w:pPr>
      <w:r>
        <w:t xml:space="preserve">15.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560"/>
        <w:gridCol w:w="1400"/>
      </w:tblGrid>
      <w:tr>
        <w:trPr>
          <w:tblHeader/>
        </w:trPr>
        <w:tc>
          <w:tcPr>
            <w:tcW w:type="dxa" w:w="24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Role</w:t>
            </w:r>
          </w:p>
        </w:tc>
        <w:tc>
          <w:tcPr>
            <w:tcW w:type="dxa" w:w="30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Name</w:t>
            </w:r>
          </w:p>
        </w:tc>
        <w:tc>
          <w:tcPr>
            <w:tcW w:type="dxa" w:w="25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Signature</w:t>
            </w:r>
          </w:p>
        </w:tc>
        <w:tc>
          <w:tcPr>
            <w:tcW w:type="dxa" w:w="14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Date</w:t>
            </w:r>
          </w:p>
        </w:tc>
      </w:tr>
      <w:tr>
        <w:tc>
          <w:tcPr>
            <w:tcW w:type="dxa" w:w="24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Product sponsor</w:t>
            </w:r>
          </w:p>
        </w:tc>
        <w:tc>
          <w:tcPr>
            <w:tcW w:type="dxa" w:w="3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w:r>
          </w:p>
        </w:tc>
        <w:tc>
          <w:tcPr>
            <w:tcW w:type="dxa" w:w="2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w:r>
          </w:p>
        </w:tc>
        <w:tc>
          <w:tcPr>
            <w:tcW w:type="dxa" w:w="14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w:r>
          </w:p>
        </w:tc>
      </w:tr>
      <w:tr>
        <w:tc>
          <w:tcPr>
            <w:tcW w:type="dxa" w:w="24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Business owner</w:t>
            </w:r>
          </w:p>
        </w:tc>
        <w:tc>
          <w:tcPr>
            <w:tcW w:type="dxa" w:w="3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
            </w:r>
          </w:p>
        </w:tc>
        <w:tc>
          <w:tcPr>
            <w:tcW w:type="dxa" w:w="2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
            </w:r>
          </w:p>
        </w:tc>
        <w:tc>
          <w:tcPr>
            <w:tcW w:type="dxa" w:w="14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
            </w:r>
          </w:p>
        </w:tc>
      </w:tr>
      <w:tr>
        <w:tc>
          <w:tcPr>
            <w:tcW w:type="dxa" w:w="24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Compliance / legal</w:t>
            </w:r>
          </w:p>
        </w:tc>
        <w:tc>
          <w:tcPr>
            <w:tcW w:type="dxa" w:w="3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w:r>
          </w:p>
        </w:tc>
        <w:tc>
          <w:tcPr>
            <w:tcW w:type="dxa" w:w="2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w:r>
          </w:p>
        </w:tc>
        <w:tc>
          <w:tcPr>
            <w:tcW w:type="dxa" w:w="14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w:r>
          </w:p>
        </w:tc>
      </w:tr>
      <w:tr>
        <w:tc>
          <w:tcPr>
            <w:tcW w:type="dxa" w:w="24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Engineering lead</w:t>
            </w:r>
          </w:p>
        </w:tc>
        <w:tc>
          <w:tcPr>
            <w:tcW w:type="dxa" w:w="3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
            </w:r>
          </w:p>
        </w:tc>
        <w:tc>
          <w:tcPr>
            <w:tcW w:type="dxa" w:w="2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
            </w:r>
          </w:p>
        </w:tc>
        <w:tc>
          <w:tcPr>
            <w:tcW w:type="dxa" w:w="14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
            </w:r>
          </w:p>
        </w:tc>
      </w:tr>
    </w:tbl>
    <w:p>
      <w:pPr>
        <w:spacing w:after="120"/>
      </w:pPr>
      <w:r>
        <w:t xml:space="preserve"/>
      </w:r>
    </w:p>
    <w:p>
      <w:pPr>
        <w:spacing w:after="120" w:line="276"/>
      </w:pPr>
      <w:r>
        <w:rPr>
          <w:b/>
          <w:bCs/>
          <w:color w:val="5B5B66"/>
          <w:sz w:val="18"/>
          <w:szCs w:val="18"/>
        </w:rPr>
        <w:t xml:space="preserve">Disclaimer. </w:t>
      </w:r>
      <w:r>
        <w:rPr>
          <w:i/>
          <w:iCs/>
          <w:color w:val="5B5B66"/>
          <w:sz w:val="18"/>
          <w:szCs w:val="18"/>
        </w:rPr>
        <w:t xml:space="preserve">This is a concept document. “Verra” is a working name and figures are illustrative, modeled on public benchmarks. Verra provides analysis and drafts; licensed professionals review and are responsible for all advice and filings.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95"/>
        <w:sz w:val="16"/>
        <w:szCs w:val="16"/>
      </w:rPr>
      <w:t xml:space="preserve">Confidential — concept document · Page </w:t>
    </w:r>
    <w:r>
      <w:rPr>
        <w:color w:val="8A8A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95"/>
        <w:sz w:val="16"/>
        <w:szCs w:val="16"/>
      </w:rPr>
      <w:t xml:space="preserve">Verra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11114"/>
      <w:sz w:val="64"/>
      <w:szCs w:val="64"/>
    </w:rPr>
  </w:style>
  <w:style w:type="paragraph" w:styleId="Heading1">
    <w:name w:val="Heading 1"/>
    <w:basedOn w:val="Normal"/>
    <w:next w:val="Normal"/>
    <w:qFormat/>
    <w:pPr>
      <w:pBdr>
        <w:bottom w:val="single" w:color="E0E3FF" w:sz="6" w:space="6"/>
      </w:pBdr>
      <w:spacing w:after="140" w:before="320"/>
      <w:outlineLvl w:val="0"/>
    </w:pPr>
    <w:rPr>
      <w:rFonts w:ascii="Calibri" w:cs="Calibri" w:eastAsia="Calibri" w:hAnsi="Calibri"/>
      <w:b/>
      <w:bCs/>
      <w:color w:val="3A33C9"/>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11114"/>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3A33C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2026-06-16T15:42:17.664Z</dcterms:created>
  <dcterms:modified xsi:type="dcterms:W3CDTF">2026-06-16T15:42:17.664Z</dcterms:modified>
</cp:coreProperties>
</file>

<file path=docProps/custom.xml><?xml version="1.0" encoding="utf-8"?>
<Properties xmlns="http://schemas.openxmlformats.org/officeDocument/2006/custom-properties" xmlns:vt="http://schemas.openxmlformats.org/officeDocument/2006/docPropsVTypes"/>
</file>