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3A33C9"/>
          <w:sz w:val="40"/>
          <w:szCs w:val="40"/>
        </w:rPr>
        <w:t xml:space="preserve">VERRA</w:t>
      </w:r>
    </w:p>
    <w:p>
      <w:pPr>
        <w:spacing w:after="40"/>
      </w:pPr>
      <w:r>
        <w:rPr>
          <w:caps/>
          <w:color w:val="5B5B66"/>
          <w:spacing w:val="30"/>
          <w:sz w:val="22"/>
          <w:szCs w:val="22"/>
        </w:rPr>
        <w:t xml:space="preserve">Execution Plan &amp; Figma Build Plan</w:t>
      </w:r>
    </w:p>
    <w:p>
      <w:pPr>
        <w:pStyle w:val="Title"/>
        <w:spacing w:after="60" w:before="120"/>
      </w:pPr>
      <w:r>
        <w:rPr>
          <w:b/>
          <w:bCs/>
          <w:color w:val="111114"/>
          <w:sz w:val="60"/>
          <w:szCs w:val="60"/>
        </w:rPr>
        <w:t xml:space="preserve">Verra — Execution Plan</w:t>
      </w:r>
    </w:p>
    <w:p>
      <w:pPr>
        <w:spacing w:after="600"/>
      </w:pPr>
      <w:r>
        <w:rPr>
          <w:color w:val="5B5B66"/>
          <w:sz w:val="26"/>
          <w:szCs w:val="26"/>
        </w:rPr>
        <w:t xml:space="preserve">Roadmap, team, architecture &amp; design/Figma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3F3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114"/>
                <w:sz w:val="19"/>
                <w:szCs w:val="19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9"/>
                <w:szCs w:val="19"/>
              </w:rPr>
              <w:t xml:space="preserve">Execution Plan + Figma Build Plan</w:t>
            </w:r>
          </w:p>
        </w:tc>
      </w:tr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3F3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114"/>
                <w:sz w:val="19"/>
                <w:szCs w:val="19"/>
              </w:rPr>
              <w:t xml:space="preserve">Product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9"/>
                <w:szCs w:val="19"/>
              </w:rPr>
              <w:t xml:space="preserve">Verra (working name)</w:t>
            </w:r>
          </w:p>
        </w:tc>
      </w:tr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3F3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114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9"/>
                <w:szCs w:val="19"/>
              </w:rPr>
              <w:t xml:space="preserve">0.1 — Draft</w:t>
            </w:r>
          </w:p>
        </w:tc>
      </w:tr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3F3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114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9"/>
                <w:szCs w:val="19"/>
              </w:rPr>
              <w:t xml:space="preserve">16 June 2026</w:t>
            </w:r>
          </w:p>
        </w:tc>
      </w:tr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3F3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114"/>
                <w:sz w:val="19"/>
                <w:szCs w:val="19"/>
              </w:rPr>
              <w:t xml:space="preserve">Horizon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9"/>
                <w:szCs w:val="19"/>
              </w:rPr>
              <w:t xml:space="preserve">~18 months</w:t>
            </w:r>
          </w:p>
        </w:tc>
      </w:tr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3F3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11114"/>
                <w:sz w:val="19"/>
                <w:szCs w:val="19"/>
              </w:rPr>
              <w:t xml:space="preserve">Companion files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9"/>
                <w:szCs w:val="19"/>
              </w:rPr>
              <w:t xml:space="preserve">BRD, PRD, clickable prototype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bCs/>
          <w:color w:val="3A33C9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276"/>
      </w:pPr>
      <w:r>
        <w:t xml:space="preserve">This document is the execution plan for Verra: how the product gets built and shipped, the team and timeline, the design/Figma build plan, the technical approach, and the launch checklist. It complements the BRD (why) and PRD (what) with the how and when.</w:t>
      </w:r>
    </w:p>
    <w:p>
      <w:pPr>
        <w:pStyle w:val="Heading1"/>
      </w:pPr>
      <w:r>
        <w:t xml:space="preserve">2. Delivery Approach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Design-partner-led: build with 10–15 firms and a few company finance teams shaping the MVP.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Thin vertical slice first: one jurisdiction (US), one domain (tax), end-to-end, then widen.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Eval-gated releases: accuracy regression suite must pass before each ship.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Human-in-the-loop from day one: approval gates and audit log are MVP, not later.</w:t>
      </w:r>
    </w:p>
    <w:p>
      <w:pPr>
        <w:pStyle w:val="Heading1"/>
      </w:pPr>
      <w:r>
        <w:t xml:space="preserve">3. Phased Roadmap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4060"/>
        <w:gridCol w:w="2500"/>
      </w:tblGrid>
      <w:tr>
        <w:trPr>
          <w:tblHeader/>
        </w:trPr>
        <w:tc>
          <w:tcPr>
            <w:tcW w:type="dxa" w:w="1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40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25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Exit criteria</w:t>
            </w:r>
          </w:p>
        </w:tc>
      </w:tr>
      <w:tr>
        <w:tc>
          <w:tcPr>
            <w:tcW w:type="dxa" w:w="1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0 · Discovery &amp; design</w:t>
            </w:r>
          </w:p>
        </w:tc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1–8</w:t>
            </w:r>
          </w:p>
        </w:tc>
        <w:tc>
          <w:tcPr>
            <w:tcW w:type="dxa" w:w="40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Research synthesis, flows, design system, Figma library, architecture, design-partner LOIs</w:t>
            </w:r>
          </w:p>
        </w:tc>
        <w:tc>
          <w:tcPr>
            <w:tcW w:type="dxa" w:w="25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Signed-off designs + 8–10 LOIs</w:t>
            </w:r>
          </w:p>
        </w:tc>
      </w:tr>
      <w:tr>
        <w:tc>
          <w:tcPr>
            <w:tcW w:type="dxa" w:w="1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1 · MVP Tax (US)</w:t>
            </w:r>
          </w:p>
        </w:tc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9–24</w:t>
            </w:r>
          </w:p>
        </w:tc>
        <w:tc>
          <w:tcPr>
            <w:tcW w:type="dxa" w:w="40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Ingestion/parsing, tax analysis, scenarios, reports, assistant, digest, trust layer</w:t>
            </w:r>
          </w:p>
        </w:tc>
        <w:tc>
          <w:tcPr>
            <w:tcW w:type="dxa" w:w="25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Private beta; ≥90% plans accepted w/ minor edits</w:t>
            </w:r>
          </w:p>
        </w:tc>
      </w:tr>
      <w:tr>
        <w:tc>
          <w:tcPr>
            <w:tcW w:type="dxa" w:w="1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2 · Beta expansion</w:t>
            </w:r>
          </w:p>
        </w:tc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25–36</w:t>
            </w:r>
          </w:p>
        </w:tc>
        <w:tc>
          <w:tcPr>
            <w:tcW w:type="dxa" w:w="40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Books &amp; Close, Compliance calendar, UK + India, client portal</w:t>
            </w:r>
          </w:p>
        </w:tc>
        <w:tc>
          <w:tcPr>
            <w:tcW w:type="dxa" w:w="25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10–15 firms live; 3 company teams</w:t>
            </w:r>
          </w:p>
        </w:tc>
      </w:tr>
      <w:tr>
        <w:tc>
          <w:tcPr>
            <w:tcW w:type="dxa" w:w="1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3 · GA v1</w:t>
            </w:r>
          </w:p>
        </w:tc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37–48</w:t>
            </w:r>
          </w:p>
        </w:tc>
        <w:tc>
          <w:tcPr>
            <w:tcW w:type="dxa" w:w="40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Audit module, e-sign, SOC 2 Type II, billing</w:t>
            </w:r>
          </w:p>
        </w:tc>
        <w:tc>
          <w:tcPr>
            <w:tcW w:type="dxa" w:w="25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General availability</w:t>
            </w:r>
          </w:p>
        </w:tc>
      </w:tr>
      <w:tr>
        <w:tc>
          <w:tcPr>
            <w:tcW w:type="dxa" w:w="1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4 · Scale v2</w:t>
            </w:r>
          </w:p>
        </w:tc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49–72</w:t>
            </w:r>
          </w:p>
        </w:tc>
        <w:tc>
          <w:tcPr>
            <w:tcW w:type="dxa" w:w="40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More jurisdictions, direct e-file, integrations marketplace, enterprise (SSO/SCIM)</w:t>
            </w:r>
          </w:p>
        </w:tc>
        <w:tc>
          <w:tcPr>
            <w:tcW w:type="dxa" w:w="25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Enterprise readiness; expansion revenue</w:t>
            </w:r>
          </w:p>
        </w:tc>
      </w:tr>
    </w:tbl>
    <w:p>
      <w:pPr>
        <w:pStyle w:val="Heading1"/>
      </w:pPr>
      <w:r>
        <w:t xml:space="preserve">4. Workstreams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72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1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Product &amp; Design</w:t>
            </w:r>
          </w:p>
        </w:tc>
        <w:tc>
          <w:tcPr>
            <w:tcW w:type="dxa" w:w="72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Flows, design system, Figma library, prototype → production specs, usability testing</w:t>
            </w:r>
          </w:p>
        </w:tc>
      </w:tr>
      <w:tr>
        <w:tc>
          <w:tcPr>
            <w:tcW w:type="dxa" w:w="21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Frontend</w:t>
            </w:r>
          </w:p>
        </w:tc>
        <w:tc>
          <w:tcPr>
            <w:tcW w:type="dxa" w:w="72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Web app (assistant, digest, tax workspace, portals), design-system components</w:t>
            </w:r>
          </w:p>
        </w:tc>
      </w:tr>
      <w:tr>
        <w:tc>
          <w:tcPr>
            <w:tcW w:type="dxa" w:w="21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Backend &amp; Platform</w:t>
            </w:r>
          </w:p>
        </w:tc>
        <w:tc>
          <w:tcPr>
            <w:tcW w:type="dxa" w:w="72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Multi-tenant services, auth/RBAC, audit log, orchestration, integrations</w:t>
            </w:r>
          </w:p>
        </w:tc>
      </w:tr>
      <w:tr>
        <w:tc>
          <w:tcPr>
            <w:tcW w:type="dxa" w:w="21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AI / ML</w:t>
            </w:r>
          </w:p>
        </w:tc>
        <w:tc>
          <w:tcPr>
            <w:tcW w:type="dxa" w:w="72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Retrieval, parsing/OCR, agents, deterministic tax calculators, eval suite, model routing</w:t>
            </w:r>
          </w:p>
        </w:tc>
      </w:tr>
      <w:tr>
        <w:tc>
          <w:tcPr>
            <w:tcW w:type="dxa" w:w="21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Data &amp; Tax Logic</w:t>
            </w:r>
          </w:p>
        </w:tc>
        <w:tc>
          <w:tcPr>
            <w:tcW w:type="dxa" w:w="72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Jurisdiction rules/forms/deadlines, tax-year versioning, calculators</w:t>
            </w:r>
          </w:p>
        </w:tc>
      </w:tr>
      <w:tr>
        <w:tc>
          <w:tcPr>
            <w:tcW w:type="dxa" w:w="21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Security &amp; Compliance</w:t>
            </w:r>
          </w:p>
        </w:tc>
        <w:tc>
          <w:tcPr>
            <w:tcW w:type="dxa" w:w="72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SOC 2/ISO 27001, privacy (GDPR/DPDP), pen tests, data residency</w:t>
            </w:r>
          </w:p>
        </w:tc>
      </w:tr>
      <w:tr>
        <w:tc>
          <w:tcPr>
            <w:tcW w:type="dxa" w:w="21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GTM</w:t>
            </w:r>
          </w:p>
        </w:tc>
        <w:tc>
          <w:tcPr>
            <w:tcW w:type="dxa" w:w="72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Design-partner program, pricing/packaging, onboarding, support, marketing site</w:t>
            </w:r>
          </w:p>
        </w:tc>
      </w:tr>
    </w:tbl>
    <w:p>
      <w:pPr>
        <w:pStyle w:val="Heading1"/>
      </w:pPr>
      <w:r>
        <w:t xml:space="preserve">5. Team &amp; Roles (lean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060"/>
      </w:tblGrid>
      <w:tr>
        <w:trPr>
          <w:tblHeader/>
        </w:trPr>
        <w:tc>
          <w:tcPr>
            <w:tcW w:type="dxa" w:w="24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60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24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Product Manager</w:t>
            </w:r>
          </w:p>
        </w:tc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1</w:t>
            </w:r>
          </w:p>
        </w:tc>
        <w:tc>
          <w:tcPr>
            <w:tcW w:type="dxa" w:w="60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Roadmap, requirements, design-partner discovery</w:t>
            </w:r>
          </w:p>
        </w:tc>
      </w:tr>
      <w:tr>
        <w:tc>
          <w:tcPr>
            <w:tcW w:type="dxa" w:w="24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Product Designer</w:t>
            </w:r>
          </w:p>
        </w:tc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1–2</w:t>
            </w:r>
          </w:p>
        </w:tc>
        <w:tc>
          <w:tcPr>
            <w:tcW w:type="dxa" w:w="60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Design system, flows, Figma, usability</w:t>
            </w:r>
          </w:p>
        </w:tc>
      </w:tr>
      <w:tr>
        <w:tc>
          <w:tcPr>
            <w:tcW w:type="dxa" w:w="24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Frontend Engineers</w:t>
            </w:r>
          </w:p>
        </w:tc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2–3</w:t>
            </w:r>
          </w:p>
        </w:tc>
        <w:tc>
          <w:tcPr>
            <w:tcW w:type="dxa" w:w="60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Web app &amp; components</w:t>
            </w:r>
          </w:p>
        </w:tc>
      </w:tr>
      <w:tr>
        <w:tc>
          <w:tcPr>
            <w:tcW w:type="dxa" w:w="24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Backend Engineers</w:t>
            </w:r>
          </w:p>
        </w:tc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2–3</w:t>
            </w:r>
          </w:p>
        </w:tc>
        <w:tc>
          <w:tcPr>
            <w:tcW w:type="dxa" w:w="60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Platform, integrations, audit log</w:t>
            </w:r>
          </w:p>
        </w:tc>
      </w:tr>
      <w:tr>
        <w:tc>
          <w:tcPr>
            <w:tcW w:type="dxa" w:w="24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AI/ML Engineers</w:t>
            </w:r>
          </w:p>
        </w:tc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2</w:t>
            </w:r>
          </w:p>
        </w:tc>
        <w:tc>
          <w:tcPr>
            <w:tcW w:type="dxa" w:w="60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Retrieval, parsing, agents, evals</w:t>
            </w:r>
          </w:p>
        </w:tc>
      </w:tr>
      <w:tr>
        <w:tc>
          <w:tcPr>
            <w:tcW w:type="dxa" w:w="24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Tax/Domain Expert(s)</w:t>
            </w:r>
          </w:p>
        </w:tc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1–2</w:t>
            </w:r>
          </w:p>
        </w:tc>
        <w:tc>
          <w:tcPr>
            <w:tcW w:type="dxa" w:w="60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Jurisdiction logic, accuracy review (CPA/CA)</w:t>
            </w:r>
          </w:p>
        </w:tc>
      </w:tr>
      <w:tr>
        <w:tc>
          <w:tcPr>
            <w:tcW w:type="dxa" w:w="24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Security/Compliance</w:t>
            </w:r>
          </w:p>
        </w:tc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0.5–1</w:t>
            </w:r>
          </w:p>
        </w:tc>
        <w:tc>
          <w:tcPr>
            <w:tcW w:type="dxa" w:w="60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Certifications, governance</w:t>
            </w:r>
          </w:p>
        </w:tc>
      </w:tr>
      <w:tr>
        <w:tc>
          <w:tcPr>
            <w:tcW w:type="dxa" w:w="24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Eng lead / founder</w:t>
            </w:r>
          </w:p>
        </w:tc>
        <w:tc>
          <w:tcPr>
            <w:tcW w:type="dxa" w:w="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1</w:t>
            </w:r>
          </w:p>
        </w:tc>
        <w:tc>
          <w:tcPr>
            <w:tcW w:type="dxa" w:w="60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Architecture, hiring, delivery</w:t>
            </w:r>
          </w:p>
        </w:tc>
      </w:tr>
    </w:tbl>
    <w:p>
      <w:pPr>
        <w:pStyle w:val="Heading1"/>
      </w:pPr>
      <w:r>
        <w:t xml:space="preserve">6. Technical Architecture (summary)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Multi-tenant SaaS: </w:t>
      </w:r>
      <w:r>
        <w:t xml:space="preserve">strict tenant isolation; RBAC; SSO/SCIM.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Ingestion pipeline: </w:t>
      </w:r>
      <w:r>
        <w:t xml:space="preserve">upload + connectors → OCR/parse → structured extraction with citations + confidence → client profile.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AI orchestration: </w:t>
      </w:r>
      <w:r>
        <w:t xml:space="preserve">retrieval over tenant data; specialized agents; deterministic calculators for bracket/threshold math; model routing for cost.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Trust layer: </w:t>
      </w:r>
      <w:r>
        <w:t xml:space="preserve">immutable audit log, approval-gate service, action receipts, rollback.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Integrations: </w:t>
      </w:r>
      <w:r>
        <w:t xml:space="preserve">QuickBooks/Xero, Plaid, Google/M365, CRM, filing gateways (MeF/GSTN/Companies House).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Data: </w:t>
      </w:r>
      <w:r>
        <w:t xml:space="preserve">per-jurisdiction residency; encryption; zero-retention model contracts.</w:t>
      </w:r>
    </w:p>
    <w:p>
      <w:pPr>
        <w:pStyle w:val="Heading1"/>
      </w:pPr>
      <w:r>
        <w:t xml:space="preserve">7. Design System &amp; Figma Build Plan</w:t>
      </w:r>
    </w:p>
    <w:p>
      <w:pPr>
        <w:spacing w:after="120" w:line="276"/>
      </w:pPr>
      <w:r>
        <w:t xml:space="preserve">The clickable HTML prototype (verra-prototype.html) is the source of truth for look-and-feel, modeled on ideation. Once the Figma desktop app + Dev Mode MCP are connected, build the Figma file in this order:</w:t>
      </w:r>
    </w:p>
    <w:p>
      <w:pPr>
        <w:pStyle w:val="Heading2"/>
      </w:pPr>
      <w:r>
        <w:t xml:space="preserve">7.1 Build order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Foundations / variables: color tokens (accent #5566FF, gradient #8A92FF→#4F46E5, ink #111114, cream #F5F5F5), type scale (Archivo display, Inter body, Fraunces serif), radius (8–22), spacing, shadows.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Core components: buttons (black pill, periwinkle CTA, ghost), assistant card + mode chips, suggestion row, nav item, KPI card, list/feed row, table, tag/pill, calendar cell, glass insight card, stepper.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Marketing frames: hero (sky gradient + grid), feature/digest section, stats band, tax dashboard section, STEP 1–4 workflow, personas, security, pricing (3 tiers).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App frames: Home/Digest, Assistant, Clients/Entities, Tax Planning (scenario compare), Books &amp; Close, Audit workpaper, Compliance calendar, Trust &amp; Audit Log, Settings.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Variants &amp; states: hover/active/disabled, persona variants (firm/company/individual), light theme; prototype links between frames.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Handoff: annotate tokens and component props; export for the design-handoff/engineering spec.</w:t>
      </w:r>
    </w:p>
    <w:p>
      <w:pPr>
        <w:pStyle w:val="Heading2"/>
      </w:pPr>
      <w:r>
        <w:t xml:space="preserve">7.2 Connecting Figma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Open the Figma desktop app and sign in (Dev or Full seat, paid plan).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Create/open the target Figma file; with nothing selected, switch to Dev Mode and enable the MCP server in the right sidebar.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Authorize the Figma connector in Cowork; keep the file open and focused while frames are generated.</w:t>
      </w:r>
    </w:p>
    <w:p>
      <w:pPr>
        <w:spacing w:after="120" w:line="276"/>
      </w:pPr>
      <w:r>
        <w:t xml:space="preserve">Color and type are bound to variables so light/dark and rebrands are one-switch changes; components use auto-layout to match the prototype's responsive behavior.</w:t>
      </w:r>
    </w:p>
    <w:p>
      <w:pPr>
        <w:pStyle w:val="Heading1"/>
      </w:pPr>
      <w:r>
        <w:t xml:space="preserve">8. Risks &amp; Dependencies (delivery)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 / dependency</w:t>
            </w:r>
          </w:p>
        </w:tc>
        <w:tc>
          <w:tcPr>
            <w:tcW w:type="dxa" w:w="5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Tax-logic accuracy by jurisdiction</w:t>
            </w:r>
          </w:p>
        </w:tc>
        <w:tc>
          <w:tcPr>
            <w:tcW w:type="dxa" w:w="5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Deterministic calculators + CPA/CA review + eval suite; launch 1 jurisdiction first</w:t>
            </w:r>
          </w:p>
        </w:tc>
      </w:tr>
      <w:tr>
        <w:tc>
          <w:tcPr>
            <w:tcW w:type="dxa" w:w="3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Model cost at scale</w:t>
            </w:r>
          </w:p>
        </w:tc>
        <w:tc>
          <w:tcPr>
            <w:tcW w:type="dxa" w:w="5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Model routing, caching, batch; usage budgets</w:t>
            </w:r>
          </w:p>
        </w:tc>
      </w:tr>
      <w:tr>
        <w:tc>
          <w:tcPr>
            <w:tcW w:type="dxa" w:w="3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Integration availability</w:t>
            </w:r>
          </w:p>
        </w:tc>
        <w:tc>
          <w:tcPr>
            <w:tcW w:type="dxa" w:w="5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Start with QuickBooks/Xero/Plaid; abstract a connector layer</w:t>
            </w:r>
          </w:p>
        </w:tc>
      </w:tr>
      <w:tr>
        <w:tc>
          <w:tcPr>
            <w:tcW w:type="dxa" w:w="3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Security certification lead time</w:t>
            </w:r>
          </w:p>
        </w:tc>
        <w:tc>
          <w:tcPr>
            <w:tcW w:type="dxa" w:w="5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Start SOC 2 readiness in Phase 1; pen-test before GA</w:t>
            </w:r>
          </w:p>
        </w:tc>
      </w:tr>
      <w:tr>
        <w:tc>
          <w:tcPr>
            <w:tcW w:type="dxa" w:w="3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Design-partner availability</w:t>
            </w:r>
          </w:p>
        </w:tc>
        <w:tc>
          <w:tcPr>
            <w:tcW w:type="dxa" w:w="5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color w:val="111114"/>
                <w:sz w:val="18"/>
                <w:szCs w:val="18"/>
              </w:rPr>
              <w:t xml:space="preserve">Recruit early; structure with clear value + cadence</w:t>
            </w:r>
          </w:p>
        </w:tc>
      </w:tr>
    </w:tbl>
    <w:p>
      <w:pPr>
        <w:pStyle w:val="Heading1"/>
      </w:pPr>
      <w:r>
        <w:t xml:space="preserve">9. Launch Checklist (GA)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Eval suite green for supported jurisdictions/tax years.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SOC 2 Type II achieved; pen test remediated; DPA &amp; disclaimers in place.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Approval gates + audit log verified end-to-end.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Onboarding, docs, support, billing, status page live.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Design-partner references and ROI case studies captured.</w:t>
      </w:r>
    </w:p>
    <w:p>
      <w:pPr>
        <w:pStyle w:val="Heading1"/>
      </w:pPr>
      <w:r>
        <w:t xml:space="preserve">10. Immediate Next Steps (2 weeks)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Confirm jurisdiction order (US → UK or India) with design-partner signal.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Finalize design system and build the Figma library (once connected).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Stand up ingestion + tax-analysis spike on real anonymized 1040s.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Recruit 8–10 design-partner firms; sign LOIs.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Define the accuracy eval set and target thresholds.</w:t>
      </w:r>
    </w:p>
    <w:p>
      <w:pPr>
        <w:spacing w:after="120"/>
      </w:pPr>
      <w:r>
        <w:t xml:space="preserve"/>
      </w:r>
    </w:p>
    <w:p>
      <w:pPr>
        <w:spacing w:after="120" w:line="276"/>
      </w:pPr>
      <w:r>
        <w:rPr>
          <w:b/>
          <w:bCs/>
          <w:color w:val="5B5B66"/>
          <w:sz w:val="18"/>
          <w:szCs w:val="18"/>
        </w:rPr>
        <w:t xml:space="preserve">Disclaimer. </w:t>
      </w:r>
      <w:r>
        <w:rPr>
          <w:i/>
          <w:iCs/>
          <w:color w:val="5B5B66"/>
          <w:sz w:val="18"/>
          <w:szCs w:val="18"/>
        </w:rPr>
        <w:t xml:space="preserve">Concept document; “Verra” is a working name; timelines and figures are indicative for planning.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A95"/>
        <w:sz w:val="16"/>
        <w:szCs w:val="16"/>
      </w:rPr>
      <w:t xml:space="preserve">Confidential — concept document · Page </w:t>
    </w:r>
    <w:r>
      <w:rPr>
        <w:color w:val="8A8A9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A95"/>
        <w:sz w:val="16"/>
        <w:szCs w:val="16"/>
      </w:rPr>
      <w:t xml:space="preserve">Verra · Execution &amp; Figma Build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11114"/>
      <w:sz w:val="64"/>
      <w:szCs w:val="64"/>
    </w:rPr>
  </w:style>
  <w:style w:type="paragraph" w:styleId="Heading1">
    <w:name w:val="Heading 1"/>
    <w:basedOn w:val="Normal"/>
    <w:next w:val="Normal"/>
    <w:qFormat/>
    <w:pPr>
      <w:pBdr>
        <w:bottom w:val="single" w:color="E0E3FF" w:sz="6" w:space="6"/>
      </w:pBdr>
      <w:spacing w:after="140" w:before="320"/>
      <w:outlineLvl w:val="0"/>
    </w:pPr>
    <w:rPr>
      <w:rFonts w:ascii="Calibri" w:cs="Calibri" w:eastAsia="Calibri" w:hAnsi="Calibri"/>
      <w:b/>
      <w:bCs/>
      <w:color w:val="3A33C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Calibri" w:cs="Calibri" w:eastAsia="Calibri" w:hAnsi="Calibri"/>
      <w:b/>
      <w:bCs/>
      <w:color w:val="11111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3A33C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2026-06-16T15:44:58.790Z</dcterms:created>
  <dcterms:modified xsi:type="dcterms:W3CDTF">2026-06-16T15:44:58.791Z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