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3A33C9"/>
          <w:sz w:val="40"/>
          <w:szCs w:val="40"/>
        </w:rPr>
        <w:t xml:space="preserve">VERRA</w:t>
      </w:r>
    </w:p>
    <w:p>
      <w:pPr>
        <w:spacing w:after="40"/>
      </w:pPr>
      <w:r>
        <w:rPr>
          <w:caps/>
          <w:color w:val="5B5B66"/>
          <w:spacing w:val="30"/>
          <w:sz w:val="22"/>
          <w:szCs w:val="22"/>
        </w:rPr>
        <w:t xml:space="preserve">Product Requirements Document (PRD)</w:t>
      </w:r>
    </w:p>
    <w:p>
      <w:pPr>
        <w:pStyle w:val="Title"/>
        <w:spacing w:after="60" w:before="120"/>
      </w:pPr>
      <w:r>
        <w:rPr>
          <w:b/>
          <w:bCs/>
          <w:color w:val="111114"/>
          <w:sz w:val="60"/>
          <w:szCs w:val="60"/>
        </w:rPr>
        <w:t xml:space="preserve">Verra — Product Requirements</w:t>
      </w:r>
    </w:p>
    <w:p>
      <w:pPr>
        <w:spacing w:after="600"/>
      </w:pPr>
      <w:r>
        <w:rPr>
          <w:color w:val="5B5B66"/>
          <w:sz w:val="26"/>
          <w:szCs w:val="26"/>
        </w:rPr>
        <w:t xml:space="preserve">AI engine for accounting, tax, audit &amp; compliance · Tax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114"/>
                <w:sz w:val="19"/>
                <w:szCs w:val="19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9"/>
                <w:szCs w:val="19"/>
              </w:rPr>
              <w:t xml:space="preserve">Product Requirements Document (PRD)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114"/>
                <w:sz w:val="19"/>
                <w:szCs w:val="19"/>
              </w:rPr>
              <w:t xml:space="preserve">Product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9"/>
                <w:szCs w:val="19"/>
              </w:rPr>
              <w:t xml:space="preserve">Verra (working name)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114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9"/>
                <w:szCs w:val="19"/>
              </w:rPr>
              <w:t xml:space="preserve">0.1 — Draft for review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114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9"/>
                <w:szCs w:val="19"/>
              </w:rPr>
              <w:t xml:space="preserve">16 June 2026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114"/>
                <w:sz w:val="19"/>
                <w:szCs w:val="19"/>
              </w:rPr>
              <w:t xml:space="preserve">MVP focus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9"/>
                <w:szCs w:val="19"/>
              </w:rPr>
              <w:t xml:space="preserve">Tax (planning + filing prep)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114"/>
                <w:sz w:val="19"/>
                <w:szCs w:val="19"/>
              </w:rPr>
              <w:t xml:space="preserve">Tenants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9"/>
                <w:szCs w:val="19"/>
              </w:rPr>
              <w:t xml:space="preserve">Firms · Companies · Individuals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114"/>
                <w:sz w:val="19"/>
                <w:szCs w:val="19"/>
              </w:rPr>
              <w:t xml:space="preserve">Jurisdictions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9"/>
                <w:szCs w:val="19"/>
              </w:rPr>
              <w:t xml:space="preserve">US (MVP) · UK · India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3A33C9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Product Overview</w:t>
      </w:r>
    </w:p>
    <w:p>
      <w:pPr>
        <w:spacing w:after="120" w:line="276"/>
      </w:pPr>
      <w:r>
        <w:t xml:space="preserve">Verra is an AI engine for accounting, tax, audit and compliance. It ingests a client's financial documents and connected data, understands them, and turns them into prepared work: a daily briefing, cited answers, tax plans and scenarios, an automated close, audit workpapers, and on-time filings — across jurisdictions, with a human approving everything consequential.</w:t>
      </w:r>
    </w:p>
    <w:p>
      <w:pPr>
        <w:spacing w:after="120" w:line="276"/>
      </w:pPr>
      <w:r>
        <w:rPr>
          <w:b/>
          <w:bCs/>
        </w:rPr>
        <w:t xml:space="preserve">Design language. </w:t>
      </w:r>
      <w:r>
        <w:t xml:space="preserve">The UI/UX is modeled on hazel.ai: a calm periwinkle/indigo aesthetic (accent #5566FF), ultra-bold display headings, a floating conversational assistant with modes and suggestions, a left workspace nav, and clean white product surfaces. A working clickable prototype accompanies this PRD.</w:t>
      </w:r>
    </w:p>
    <w:p>
      <w:pPr>
        <w:spacing w:after="120" w:line="276"/>
      </w:pPr>
      <w:r>
        <w:rPr>
          <w:b/>
          <w:bCs/>
        </w:rPr>
        <w:t xml:space="preserve">MVP focus. </w:t>
      </w:r>
      <w:r>
        <w:t xml:space="preserve">Tax (planning + filing preparation) is built deepest; Books &amp; Close, Audit &amp; Assurance, and Compliance are specified at roadmap depth and built in subsequent phases.</w:t>
      </w:r>
    </w:p>
    <w:p>
      <w:pPr>
        <w:pStyle w:val="Heading1"/>
      </w:pPr>
      <w:r>
        <w:t xml:space="preserve">2. Goals &amp; Non-Goals</w:t>
      </w:r>
    </w:p>
    <w:p>
      <w:pPr>
        <w:pStyle w:val="Heading2"/>
      </w:pPr>
      <w:r>
        <w:t xml:space="preserve">2.1 Goals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Cut professional time on tax prep/analysis by ≥ 50% while improving consistency.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Make every answer cited and every consequential action human-approved and logged.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Serve firms, companies and individuals from one multi-tenant codebase.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Support multiple jurisdictions through a configurable rules/forms/deadlines framework.</w:t>
      </w:r>
    </w:p>
    <w:p>
      <w:pPr>
        <w:pStyle w:val="Heading2"/>
      </w:pPr>
      <w:r>
        <w:t xml:space="preserve">2.2 Non-goals (initial release)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Replacing the general ledger as the system of record (integrate first).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Fully autonomous filing without human sign-off.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Autonomous tax/legal advice — Verra outputs analysis and drafts for professional review.</w:t>
      </w:r>
    </w:p>
    <w:p>
      <w:pPr>
        <w:pStyle w:val="Heading1"/>
      </w:pPr>
      <w:r>
        <w:t xml:space="preserve">3. Personas &amp; Jobs-To-Be-Done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3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Tenant</w:t>
            </w:r>
          </w:p>
        </w:tc>
        <w:tc>
          <w:tcPr>
            <w:tcW w:type="dxa" w:w="5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 jobs-to-be-done</w:t>
            </w:r>
          </w:p>
        </w:tc>
      </w:tr>
      <w:tr>
        <w:tc>
          <w:tcPr>
            <w:tcW w:type="dxa" w:w="23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Priya — Tax manager</w:t>
            </w:r>
          </w:p>
        </w:tc>
        <w:tc>
          <w:tcPr>
            <w:tcW w:type="dxa" w:w="13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Firm</w:t>
            </w:r>
          </w:p>
        </w:tc>
        <w:tc>
          <w:tcPr>
            <w:tcW w:type="dxa" w:w="5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“Prepare and review high-quality tax plans for many clients, fast, and quantify the value.”</w:t>
            </w:r>
          </w:p>
        </w:tc>
      </w:tr>
      <w:tr>
        <w:tc>
          <w:tcPr>
            <w:tcW w:type="dxa" w:w="23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Arjun — Audit senior</w:t>
            </w:r>
          </w:p>
        </w:tc>
        <w:tc>
          <w:tcPr>
            <w:tcW w:type="dxa" w:w="13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Firm</w:t>
            </w:r>
          </w:p>
        </w:tc>
        <w:tc>
          <w:tcPr>
            <w:tcW w:type="dxa" w:w="5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“Test everything, tie evidence to workpapers, and surface real anomalies.”</w:t>
            </w:r>
          </w:p>
        </w:tc>
      </w:tr>
      <w:tr>
        <w:tc>
          <w:tcPr>
            <w:tcW w:type="dxa" w:w="23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David — Controller</w:t>
            </w:r>
          </w:p>
        </w:tc>
        <w:tc>
          <w:tcPr>
            <w:tcW w:type="dxa" w:w="13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Company</w:t>
            </w:r>
          </w:p>
        </w:tc>
        <w:tc>
          <w:tcPr>
            <w:tcW w:type="dxa" w:w="5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“Close the books faster and stay continuously audit-ready across entities.”</w:t>
            </w:r>
          </w:p>
        </w:tc>
      </w:tr>
      <w:tr>
        <w:tc>
          <w:tcPr>
            <w:tcW w:type="dxa" w:w="23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Sofia — Individual/SMB</w:t>
            </w:r>
          </w:p>
        </w:tc>
        <w:tc>
          <w:tcPr>
            <w:tcW w:type="dxa" w:w="13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Individual</w:t>
            </w:r>
          </w:p>
        </w:tc>
        <w:tc>
          <w:tcPr>
            <w:tcW w:type="dxa" w:w="5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“Understand my taxes, capture savings, and never miss a deadline.”</w:t>
            </w:r>
          </w:p>
        </w:tc>
      </w:tr>
      <w:tr>
        <w:tc>
          <w:tcPr>
            <w:tcW w:type="dxa" w:w="23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Maya — Firm partner</w:t>
            </w:r>
          </w:p>
        </w:tc>
        <w:tc>
          <w:tcPr>
            <w:tcW w:type="dxa" w:w="13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Firm</w:t>
            </w:r>
          </w:p>
        </w:tc>
        <w:tc>
          <w:tcPr>
            <w:tcW w:type="dxa" w:w="5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“Increase capacity and margin without adding risk.”</w:t>
            </w:r>
          </w:p>
        </w:tc>
      </w:tr>
    </w:tbl>
    <w:p>
      <w:pPr>
        <w:pStyle w:val="Heading1"/>
      </w:pPr>
      <w:r>
        <w:t xml:space="preserve">4. Key User Journey — Tax (MVP, end to end)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Bring in data: user uploads 1040s/returns/statements or Verra pulls from CRM, ledger, bank/custodial feeds and email.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Parse &amp; understand: Verra extracts structured fields, classifies documents, and builds a client tax profile with citations to source pages.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Analyze: Verra computes the current tax position (total tax, marginal/effective rate, income breakdown) and surfaces opportunities (Roth conversion headroom, loss harvesting, withholding, credits).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Explore scenarios: user models conversions, income changes, life events; Verra projects outcomes and compares side by side.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Review &amp; approve: user inspects sources/assumptions, challenges or swaps a source, edits, and approves.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Share: Verra generates a client-ready letter, an interactive report, and advisor talking points; user sends after approval; action is logged.</w:t>
      </w:r>
    </w:p>
    <w:p>
      <w:pPr>
        <w:pStyle w:val="Heading1"/>
      </w:pPr>
      <w:r>
        <w:t xml:space="preserve">5. Information Architecture &amp; Navigation</w:t>
      </w:r>
    </w:p>
    <w:p>
      <w:pPr>
        <w:spacing w:after="120" w:line="276"/>
      </w:pPr>
      <w:r>
        <w:t xml:space="preserve">Top bar: tenant/persona switcher (Firm / Company / Individual), global Ask-Verra search, account. Left workspace nav grouped into Workspace (Home/Digest, Assistant, Clients/Entities), Engagements (Tax, Books &amp; Close, Audit, Compliance), and Account (Trust &amp; Audit Log, Settings).</w:t>
      </w:r>
    </w:p>
    <w:p>
      <w:pPr>
        <w:pStyle w:val="Heading1"/>
      </w:pPr>
      <w:r>
        <w:t xml:space="preserve">6. Functional Requirements</w:t>
      </w:r>
    </w:p>
    <w:p>
      <w:pPr>
        <w:pStyle w:val="Heading2"/>
      </w:pPr>
      <w:r>
        <w:t xml:space="preserve">6.1 AI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FR-AS-1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Conversational assistant with modes (Ask, Tax, Audit, Books, Compliance) and suggestion chips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FR-AS-2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Answers grounded in tenant data via retrieval; every claim shows inline citations to source docs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FR-AS-3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Separate facts from assumptions; allow user to challenge, swap, or re-run with a source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FR-AS-4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Maintain client/engagement context across follow-ups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FR-AS-5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Draft outputs (emails, letters) are queued for approval, never auto-sent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</w:tbl>
    <w:p>
      <w:pPr>
        <w:pStyle w:val="Heading2"/>
      </w:pPr>
      <w:r>
        <w:t xml:space="preserve">6.2 Daily Digest &amp; Meeting Prep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FR-DG-1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Each morning, scan inbox, calendar, ledgers and deadlines to surface what needs attention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FR-DG-2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Per-client/meeting briefing with context, open items and prepared actions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FR-DG-3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Inline quick-actions (open filing, review plan, snooze, dismiss)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6.3 Tax Planning &amp; Filing Preparation (MVP — detailed)</w:t>
      </w:r>
    </w:p>
    <w:p>
      <w:pPr>
        <w:pStyle w:val="Heading3"/>
      </w:pPr>
      <w:r>
        <w:t xml:space="preserve">6.3.1 Document ingestion &amp; parsing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FR-TX-1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Upload or pull 1040s, W-2s, 1099s, K-1s, paystubs, brokerage statements, prior returns, GST/VAT returns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FR-TX-2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OCR + structured extraction of line items with page-level source references and confidence scores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FR-TX-3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Classify documents and reconcile across sources; flag missing or inconsistent data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FR-TX-4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Build a versioned client tax profile keyed by tax year and jurisdiction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</w:tbl>
    <w:p>
      <w:pPr>
        <w:pStyle w:val="Heading3"/>
      </w:pPr>
      <w:r>
        <w:t xml:space="preserve">6.3.2 Analysis &amp; opportunity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FR-TX-5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Compute current position: total tax, marginal &amp; effective rate, income breakdown, withholdings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FR-TX-6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Detect opportunities: Roth conversion headroom, tax-loss harvesting, withholding/estimate gaps, credits/deductions, tax-advantaged accounts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FR-TX-7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Quantify each recommendation's estimated annual and lifetime tax impact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FR-TX-8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Explain each finding in plain language with citations and the governing rule/bracket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</w:tbl>
    <w:p>
      <w:pPr>
        <w:pStyle w:val="Heading3"/>
      </w:pPr>
      <w:r>
        <w:t xml:space="preserve">6.3.3 Scenario modeling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FR-TX-9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Model scenarios: Roth conversions/ladders, income changes, asset sales, withdrawals, life events, market assumptions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FR-TX-10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Compare ≥ 2 scenarios side by side with projected tax and a recommended option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FR-TX-11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Respect bracket thresholds and phase-outs for the selected year/jurisdiction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FR-TX-12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Allow editable assumptions; recompute in real time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3"/>
      </w:pPr>
      <w:r>
        <w:t xml:space="preserve">6.3.4 Filing preparation &amp;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FR-TX-13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Assemble a filing-prep package mapped to the correct forms for the jurisdiction/year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FR-TX-14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Generate a client-ready letter, interactive report, and advisor talking points in one action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FR-TX-15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Route for human review/approval before share or export; capture sign-off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FR-TX-16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Export to e-file/portal gateways (MeF, GSTN) — phased; prep-and-export first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Could</w:t>
            </w:r>
          </w:p>
        </w:tc>
      </w:tr>
    </w:tbl>
    <w:p>
      <w:pPr>
        <w:pStyle w:val="Heading3"/>
      </w:pPr>
      <w:r>
        <w:t xml:space="preserve">6.3.5 Acceptance criteria (sample)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Given a valid 1040 upload, when parsing completes, then ≥ 95% of key line items are extracted with citations and a confidence score, and low-confidence fields are flagged for review.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Given a client in the 24% bracket, when a Roth conversion scenario is run, then Verra returns the max conversion staying in-bracket, the projected tax delta, and citations to the bracket source.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Given an approved plan, when the user clicks Share, then a letter + interactive report are generated and the action is recorded in the audit log with sources and approver.</w:t>
      </w:r>
    </w:p>
    <w:p>
      <w:pPr>
        <w:pStyle w:val="Heading2"/>
      </w:pPr>
      <w:r>
        <w:t xml:space="preserve">6.4 Books &amp; Close (roadmap)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FR-BK-1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Auto-categorize transactions with confidence; auto-post above threshold, queue the rest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FR-BK-2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Reconcile accounts; surface exceptions for human review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FR-BK-3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Drive a month-end close checklist across multi-entity/multi-currency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FR-BK-4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Draft financial statements from the closed ledger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Could</w:t>
            </w:r>
          </w:p>
        </w:tc>
      </w:tr>
    </w:tbl>
    <w:p>
      <w:pPr>
        <w:pStyle w:val="Heading2"/>
      </w:pPr>
      <w:r>
        <w:t xml:space="preserve">6.5 Audit &amp; Assurance (roadmap)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FR-AU-1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Test 100% of transactions for anomalies (weekend/round-number/backdated/threshold) with risk scoring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FR-AU-2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Auto tie-out evidence (invoice ↔ GL ↔ bank) and assemble workpapers with references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FR-AU-3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Manage the PBC (prepared-by-client) checklist with automated reminders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FR-AU-4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Maintain a defensible, exportable audit trail of procedures and conclusions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6.6 Compliance Calendar (multi-jurisdiction)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FR-CO-1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Living calendar of obligations per entity and jurisdiction (IRS, HMRC, GST, MCA, e-invoicing mandates)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FR-CO-2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Reminders, risk flags, and auto-prepared filing drafts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FR-CO-3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Configurable obligations with rule/deadline definitions versioned by year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6.7 Client Portal &amp; Collaboration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FR-CP-1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Branded client portal for secure document upload, review and e-sign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FR-CP-2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Plain-language explanations for individual users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FR-CP-3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Secure share between individual and their accountant/firm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6.8 Trust, Governance &amp;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FR-TR-1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Immutable audit log of every AI action: actor, action, sources, timestamp, approval, rollback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FR-TR-2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Human-approval gates configurable per action class (send, file, post)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FR-TR-3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Role-based access control; SSO/SCIM; tenant isolation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FR-TR-4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Admin: connected sources, active jurisdictions, AI controls (zero-retention, citation enforcement)</w:t>
            </w:r>
          </w:p>
        </w:tc>
        <w:tc>
          <w:tcPr>
            <w:tcW w:type="dxa" w:w="1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Must</w:t>
            </w:r>
          </w:p>
        </w:tc>
      </w:tr>
    </w:tbl>
    <w:p>
      <w:pPr>
        <w:pStyle w:val="Heading1"/>
      </w:pPr>
      <w:r>
        <w:t xml:space="preserve">7. AI &amp; Agent Design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Retrieval-grounded: </w:t>
      </w:r>
      <w:r>
        <w:t xml:space="preserve">answers are generated over the tenant's own documents/data with mandatory inline citations; no ungrounded figures.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Multi-agent: </w:t>
      </w:r>
      <w:r>
        <w:t xml:space="preserve">specialized agents (Tax, Books, Audit, Compliance) orchestrated over a shared client profile; deterministic calculators handle bracket/threshold math, LLMs handle language, classification and reasoning.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Human-in-the-loop gates: </w:t>
      </w:r>
      <w:r>
        <w:t xml:space="preserve">synchronous approval for irreversible/consequential actions (send, file, post above threshold); asynchronous logging for low-risk automation.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Action receipts: </w:t>
      </w:r>
      <w:r>
        <w:t xml:space="preserve">every action produces a receipt (what changed, sources, agent, time, rollback).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Confidence &amp; evals: </w:t>
      </w:r>
      <w:r>
        <w:t xml:space="preserve">confidence thresholds gate automation; a regression/eval suite measures accuracy by jurisdiction and tax year.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Privacy: </w:t>
      </w:r>
      <w:r>
        <w:t xml:space="preserve">zero-retention model contracts; no training on customer data; PII minimization; per-jurisdiction data residency.</w:t>
      </w:r>
    </w:p>
    <w:p>
      <w:pPr>
        <w:pStyle w:val="Heading1"/>
      </w:pPr>
      <w:r>
        <w:t xml:space="preserve">8. Core Data Model (conceptual)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71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attributes / relationships</w:t>
            </w:r>
          </w:p>
        </w:tc>
      </w:tr>
      <w:tr>
        <w:tc>
          <w:tcPr>
            <w:tcW w:type="dxa" w:w="22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Tenant</w:t>
            </w:r>
          </w:p>
        </w:tc>
        <w:tc>
          <w:tcPr>
            <w:tcW w:type="dxa" w:w="71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Type (firm/company/individual), jurisdictions, settings, branding</w:t>
            </w:r>
          </w:p>
        </w:tc>
      </w:tr>
      <w:tr>
        <w:tc>
          <w:tcPr>
            <w:tcW w:type="dxa" w:w="22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Role, permissions, SSO identity, tenant</w:t>
            </w:r>
          </w:p>
        </w:tc>
      </w:tr>
      <w:tr>
        <w:tc>
          <w:tcPr>
            <w:tcW w:type="dxa" w:w="22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Client/Entity</w:t>
            </w:r>
          </w:p>
        </w:tc>
        <w:tc>
          <w:tcPr>
            <w:tcW w:type="dxa" w:w="71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Profile, jurisdiction(s), engagements, documents</w:t>
            </w:r>
          </w:p>
        </w:tc>
      </w:tr>
      <w:tr>
        <w:tc>
          <w:tcPr>
            <w:tcW w:type="dxa" w:w="22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Type, source, parsed fields, page refs, confidence, version</w:t>
            </w:r>
          </w:p>
        </w:tc>
      </w:tr>
      <w:tr>
        <w:tc>
          <w:tcPr>
            <w:tcW w:type="dxa" w:w="22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TaxProfile</w:t>
            </w:r>
          </w:p>
        </w:tc>
        <w:tc>
          <w:tcPr>
            <w:tcW w:type="dxa" w:w="71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Tax year, jurisdiction, income, positions, opportunities</w:t>
            </w:r>
          </w:p>
        </w:tc>
      </w:tr>
      <w:tr>
        <w:tc>
          <w:tcPr>
            <w:tcW w:type="dxa" w:w="22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Scenario</w:t>
            </w:r>
          </w:p>
        </w:tc>
        <w:tc>
          <w:tcPr>
            <w:tcW w:type="dxa" w:w="71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Assumptions, projected outcomes, recommendation</w:t>
            </w:r>
          </w:p>
        </w:tc>
      </w:tr>
      <w:tr>
        <w:tc>
          <w:tcPr>
            <w:tcW w:type="dxa" w:w="22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Engagement</w:t>
            </w:r>
          </w:p>
        </w:tc>
        <w:tc>
          <w:tcPr>
            <w:tcW w:type="dxa" w:w="71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Type (tax/books/audit/compliance), status, deadlines</w:t>
            </w:r>
          </w:p>
        </w:tc>
      </w:tr>
      <w:tr>
        <w:tc>
          <w:tcPr>
            <w:tcW w:type="dxa" w:w="22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Obligation</w:t>
            </w:r>
          </w:p>
        </w:tc>
        <w:tc>
          <w:tcPr>
            <w:tcW w:type="dxa" w:w="71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Jurisdiction, form, due date, status (compliance calendar)</w:t>
            </w:r>
          </w:p>
        </w:tc>
      </w:tr>
      <w:tr>
        <w:tc>
          <w:tcPr>
            <w:tcW w:type="dxa" w:w="22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AuditEvent</w:t>
            </w:r>
          </w:p>
        </w:tc>
        <w:tc>
          <w:tcPr>
            <w:tcW w:type="dxa" w:w="71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Actor, action, sources, timestamp, approval, rollback</w:t>
            </w:r>
          </w:p>
        </w:tc>
      </w:tr>
    </w:tbl>
    <w:p>
      <w:pPr>
        <w:pStyle w:val="Heading1"/>
      </w:pPr>
      <w:r>
        <w:t xml:space="preserve">9. Integrations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Ledgers/accounting: QuickBooks, Xero (and Tally/Zoho for India).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Banking/aggregation: Plaid (and regional equivalents).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Email &amp; calendar: Google Workspace, Microsoft 365.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CRM: Wealthbox and common firm CRMs.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Filing/portals (phased): IRS MeF, GSTN, Companies House.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Identity: SSO/SCIM (Okta, Entra ID, Google).</w:t>
      </w:r>
    </w:p>
    <w:p>
      <w:pPr>
        <w:pStyle w:val="Heading1"/>
      </w:pPr>
      <w:r>
        <w:t xml:space="preserve">10.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Security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SOC 2 Type II, ISO 27001; encryption in transit &amp; at rest; RBAC; tenant isolation; pen-tested</w:t>
            </w:r>
          </w:p>
        </w:tc>
      </w:tr>
      <w:tr>
        <w:tc>
          <w:tcPr>
            <w:tcW w:type="dxa" w:w="1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Privacy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GDPR &amp; India DPDP; zero-retention AI; no training on customer data; data-residency options</w:t>
            </w:r>
          </w:p>
        </w:tc>
      </w:tr>
      <w:tr>
        <w:tc>
          <w:tcPr>
            <w:tcW w:type="dxa" w:w="1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≥ 99.9% uptime target; backups; disaster recovery; graceful degradation if a model is down</w:t>
            </w:r>
          </w:p>
        </w:tc>
      </w:tr>
      <w:tr>
        <w:tc>
          <w:tcPr>
            <w:tcW w:type="dxa" w:w="1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Document parse &lt; 60s typical; assistant first token &lt; 3s; scenario recompute near real-time</w:t>
            </w:r>
          </w:p>
        </w:tc>
      </w:tr>
      <w:tr>
        <w:tc>
          <w:tcPr>
            <w:tcW w:type="dxa" w:w="1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Multi-tenant; seasonal peak load (tax/audit season) auto-scaling</w:t>
            </w:r>
          </w:p>
        </w:tc>
      </w:tr>
      <w:tr>
        <w:tc>
          <w:tcPr>
            <w:tcW w:type="dxa" w:w="1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Accuracy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Citation accuracy ≥ 95% on figures; eval-gated releases; low-confidence flagged</w:t>
            </w:r>
          </w:p>
        </w:tc>
      </w:tr>
      <w:tr>
        <w:tc>
          <w:tcPr>
            <w:tcW w:type="dxa" w:w="1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WCAG 2.1 AA</w:t>
            </w:r>
          </w:p>
        </w:tc>
      </w:tr>
      <w:tr>
        <w:tc>
          <w:tcPr>
            <w:tcW w:type="dxa" w:w="1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Auditability</w:t>
            </w:r>
          </w:p>
        </w:tc>
        <w:tc>
          <w:tcPr>
            <w:tcW w:type="dxa" w:w="7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Immutable, exportable audit trail; record retention per jurisdiction</w:t>
            </w:r>
          </w:p>
        </w:tc>
      </w:tr>
    </w:tbl>
    <w:p>
      <w:pPr>
        <w:pStyle w:val="Heading1"/>
      </w:pPr>
      <w:r>
        <w:t xml:space="preserve">11. Success Metrics &amp; Analytics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Activation: time-to-first-tax-plan; % of trials reaching an approved plan.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Value: hours saved/professional/month; tax savings identified per client.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Quality: % AI outputs accepted with minor edits; material-error rate in review; citation accuracy.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Engagement: weekly active pros; assistant queries/user; scenarios run.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Business: logo &amp; net revenue retention; seats; tenant expansion (tax → other modules).</w:t>
      </w:r>
    </w:p>
    <w:p>
      <w:pPr>
        <w:pStyle w:val="Heading1"/>
      </w:pPr>
      <w:r>
        <w:t xml:space="preserve">12. Release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000"/>
        <w:gridCol w:w="1660"/>
      </w:tblGrid>
      <w:tr>
        <w:trPr>
          <w:tblHeader/>
        </w:trPr>
        <w:tc>
          <w:tcPr>
            <w:tcW w:type="dxa" w:w="1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6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6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MVP (private beta)</w:t>
            </w:r>
          </w:p>
        </w:tc>
        <w:tc>
          <w:tcPr>
            <w:tcW w:type="dxa" w:w="6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Tax planning + filing prep (US), Assistant, Digest, Trust layer</w:t>
            </w:r>
          </w:p>
        </w:tc>
        <w:tc>
          <w:tcPr>
            <w:tcW w:type="dxa" w:w="16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Month 6</w:t>
            </w:r>
          </w:p>
        </w:tc>
      </w:tr>
      <w:tr>
        <w:tc>
          <w:tcPr>
            <w:tcW w:type="dxa" w:w="1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Beta</w:t>
            </w:r>
          </w:p>
        </w:tc>
        <w:tc>
          <w:tcPr>
            <w:tcW w:type="dxa" w:w="6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Books &amp; Close, Compliance calendar; UK + India; client portal</w:t>
            </w:r>
          </w:p>
        </w:tc>
        <w:tc>
          <w:tcPr>
            <w:tcW w:type="dxa" w:w="16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Month 9</w:t>
            </w:r>
          </w:p>
        </w:tc>
      </w:tr>
      <w:tr>
        <w:tc>
          <w:tcPr>
            <w:tcW w:type="dxa" w:w="1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GA v1</w:t>
            </w:r>
          </w:p>
        </w:tc>
        <w:tc>
          <w:tcPr>
            <w:tcW w:type="dxa" w:w="6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Audit module, e-sign, SOC 2; general availability</w:t>
            </w:r>
          </w:p>
        </w:tc>
        <w:tc>
          <w:tcPr>
            <w:tcW w:type="dxa" w:w="16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Month 12</w:t>
            </w:r>
          </w:p>
        </w:tc>
      </w:tr>
      <w:tr>
        <w:tc>
          <w:tcPr>
            <w:tcW w:type="dxa" w:w="1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v2</w:t>
            </w:r>
          </w:p>
        </w:tc>
        <w:tc>
          <w:tcPr>
            <w:tcW w:type="dxa" w:w="6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More jurisdictions, direct e-file, integrations marketplace, enterprise</w:t>
            </w:r>
          </w:p>
        </w:tc>
        <w:tc>
          <w:tcPr>
            <w:tcW w:type="dxa" w:w="16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Months 12–18</w:t>
            </w:r>
          </w:p>
        </w:tc>
      </w:tr>
    </w:tbl>
    <w:p>
      <w:pPr>
        <w:pStyle w:val="Heading1"/>
      </w:pPr>
      <w:r>
        <w:t xml:space="preserve">13. Open Questions &amp; Risks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Which jurisdiction after US first — UK or India — based on design-partner demand?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Build vs. license jurisdiction tax-logic engines?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Direct e-file vs. partner gateways per jurisdiction?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Depth of native ledger vs. integration-only at GA?</w:t>
      </w:r>
    </w:p>
    <w:p>
      <w:pPr>
        <w:pStyle w:val="Heading1"/>
      </w:pPr>
      <w:r>
        <w:t xml:space="preserve">14. Appendix — Design Tokens (from prototype)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Accent (indigo/periwinkle)</w:t>
            </w:r>
          </w:p>
        </w:tc>
        <w:tc>
          <w:tcPr>
            <w:tcW w:type="dxa" w:w="63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#5566FF (dark #4F46E5 / #3A33C9)</w:t>
            </w:r>
          </w:p>
        </w:tc>
      </w:tr>
      <w:tr>
        <w:tc>
          <w:tcPr>
            <w:tcW w:type="dxa" w:w="3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Gradient</w:t>
            </w:r>
          </w:p>
        </w:tc>
        <w:tc>
          <w:tcPr>
            <w:tcW w:type="dxa" w:w="63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#8A92FF → #4F46E5 (hero/stats/frames)</w:t>
            </w:r>
          </w:p>
        </w:tc>
      </w:tr>
      <w:tr>
        <w:tc>
          <w:tcPr>
            <w:tcW w:type="dxa" w:w="3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Ink / text</w:t>
            </w:r>
          </w:p>
        </w:tc>
        <w:tc>
          <w:tcPr>
            <w:tcW w:type="dxa" w:w="63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#111114; secondary #5B5B66</w:t>
            </w:r>
          </w:p>
        </w:tc>
      </w:tr>
      <w:tr>
        <w:tc>
          <w:tcPr>
            <w:tcW w:type="dxa" w:w="3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Surfaces</w:t>
            </w:r>
          </w:p>
        </w:tc>
        <w:tc>
          <w:tcPr>
            <w:tcW w:type="dxa" w:w="63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White #FFFFFF; cream #F5F5F5</w:t>
            </w:r>
          </w:p>
        </w:tc>
      </w:tr>
      <w:tr>
        <w:tc>
          <w:tcPr>
            <w:tcW w:type="dxa" w:w="3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Display type</w:t>
            </w:r>
          </w:p>
        </w:tc>
        <w:tc>
          <w:tcPr>
            <w:tcW w:type="dxa" w:w="63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Ultra-bold grotesque (KMR Waldenburg → Archivo 900)</w:t>
            </w:r>
          </w:p>
        </w:tc>
      </w:tr>
      <w:tr>
        <w:tc>
          <w:tcPr>
            <w:tcW w:type="dxa" w:w="3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Serif accent</w:t>
            </w:r>
          </w:p>
        </w:tc>
        <w:tc>
          <w:tcPr>
            <w:tcW w:type="dxa" w:w="63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Pricing titles (Fraunces / serif)</w:t>
            </w:r>
          </w:p>
        </w:tc>
      </w:tr>
      <w:tr>
        <w:tc>
          <w:tcPr>
            <w:tcW w:type="dxa" w:w="3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Body type</w:t>
            </w:r>
          </w:p>
        </w:tc>
        <w:tc>
          <w:tcPr>
            <w:tcW w:type="dxa" w:w="63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Inter / system</w:t>
            </w:r>
          </w:p>
        </w:tc>
      </w:tr>
      <w:tr>
        <w:tc>
          <w:tcPr>
            <w:tcW w:type="dxa" w:w="3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Buttons</w:t>
            </w:r>
          </w:p>
        </w:tc>
        <w:tc>
          <w:tcPr>
            <w:tcW w:type="dxa" w:w="63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Black #111 pill; solid periwinkle CTA; black 'Ask Verra' sparkle</w:t>
            </w:r>
          </w:p>
        </w:tc>
      </w:tr>
      <w:tr>
        <w:tc>
          <w:tcPr>
            <w:tcW w:type="dxa" w:w="30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Radius</w:t>
            </w:r>
          </w:p>
        </w:tc>
        <w:tc>
          <w:tcPr>
            <w:tcW w:type="dxa" w:w="63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Cards ~16–22px; buttons ~8–10px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  <w:color w:val="5B5B66"/>
          <w:sz w:val="18"/>
          <w:szCs w:val="18"/>
        </w:rPr>
        <w:t xml:space="preserve">Disclaimer. </w:t>
      </w:r>
      <w:r>
        <w:rPr>
          <w:i/>
          <w:iCs/>
          <w:color w:val="5B5B66"/>
          <w:sz w:val="18"/>
          <w:szCs w:val="18"/>
        </w:rPr>
        <w:t xml:space="preserve">Concept document; “Verra” is a working name; figures are illustrative. Verra provides analysis and drafts; licensed professionals review and own all advice and filings.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95"/>
        <w:sz w:val="16"/>
        <w:szCs w:val="16"/>
      </w:rPr>
      <w:t xml:space="preserve">Confidential — concept document · Page </w:t>
    </w:r>
    <w:r>
      <w:rPr>
        <w:color w:val="8A8A9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A95"/>
        <w:sz w:val="16"/>
        <w:szCs w:val="16"/>
      </w:rPr>
      <w:t xml:space="preserve">Verra ·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11114"/>
      <w:sz w:val="64"/>
      <w:szCs w:val="64"/>
    </w:rPr>
  </w:style>
  <w:style w:type="paragraph" w:styleId="Heading1">
    <w:name w:val="Heading 1"/>
    <w:basedOn w:val="Normal"/>
    <w:next w:val="Normal"/>
    <w:qFormat/>
    <w:pPr>
      <w:pBdr>
        <w:bottom w:val="single" w:color="E0E3FF" w:sz="6" w:space="6"/>
      </w:pBdr>
      <w:spacing w:after="140" w:before="320"/>
      <w:outlineLvl w:val="0"/>
    </w:pPr>
    <w:rPr>
      <w:rFonts w:ascii="Calibri" w:cs="Calibri" w:eastAsia="Calibri" w:hAnsi="Calibri"/>
      <w:b/>
      <w:bCs/>
      <w:color w:val="3A33C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11111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3A33C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2026-06-16T15:43:49.594Z</dcterms:created>
  <dcterms:modified xsi:type="dcterms:W3CDTF">2026-06-16T15:43:49.594Z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