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b/>
          <w:bCs/>
          <w:color w:val="3A33C9"/>
          <w:sz w:val="40"/>
          <w:szCs w:val="40"/>
        </w:rPr>
        <w:t xml:space="preserve">VERRA</w:t>
      </w:r>
    </w:p>
    <w:p>
      <w:pPr>
        <w:spacing w:after="40"/>
      </w:pPr>
      <w:r>
        <w:rPr>
          <w:caps/>
          <w:color w:val="5B5B66"/>
          <w:spacing w:val="30"/>
          <w:sz w:val="22"/>
          <w:szCs w:val="22"/>
        </w:rPr>
        <w:t xml:space="preserve">SYSTEM DESIGN DOCUMENT</w:t>
      </w:r>
    </w:p>
    <w:p>
      <w:pPr>
        <w:pStyle w:val="Title"/>
        <w:spacing w:after="60" w:before="120"/>
      </w:pPr>
      <w:r>
        <w:rPr>
          <w:color w:val="111114"/>
          <w:sz w:val="60"/>
          <w:szCs w:val="60"/>
        </w:rPr>
        <w:t xml:space="preserve">Verra — System Design</w:t>
      </w:r>
    </w:p>
    <w:p>
      <w:pPr>
        <w:spacing w:after="500"/>
      </w:pPr>
      <w:r>
        <w:rPr>
          <w:color w:val="5B5B66"/>
          <w:sz w:val="26"/>
          <w:szCs w:val="26"/>
        </w:rPr>
        <w:t xml:space="preserve">Python/FastAPI microservices · Next.js frontend · multi-jurisdiction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System Design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0.2 — Python/microservices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16 June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3.12 · FastAPI · microservices (ADR-0016/0017)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Next.js (ADR-0004)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3F3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11114"/>
                <w:sz w:val="18"/>
                <w:szCs w:val="18"/>
              </w:rPr>
              <w:t xml:space="preserve">Companion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BRD, PRD, Orchestrator Plan, ADRs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3A33C9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Scope</w:t>
      </w:r>
    </w:p>
    <w:p>
      <w:pPr>
        <w:spacing w:after="120" w:line="276"/>
      </w:pPr>
      <w:r>
        <w:t xml:space="preserve">This System Design describes how the Verra platform is built end to end: the services, data model, APIs, key runtime flows, deployment, security and non-functional design. It operationalizes the BRD/PRD and the Agent Orchestrator Plan, grounded in docs/adr. The MVP realizes the Tax slice on this architecture.</w:t>
      </w:r>
    </w:p>
    <w:p>
      <w:pPr>
        <w:pStyle w:val="Heading1"/>
      </w:pPr>
      <w:r>
        <w:t xml:space="preserve">2. Architecture Overview</w:t>
      </w:r>
    </w:p>
    <w:p>
      <w:pPr>
        <w:spacing w:after="120" w:line="276"/>
      </w:pPr>
      <w:r>
        <w:t xml:space="preserve">Verra is a multi-tenant SaaS built as Python/FastAPI microservices (ADR-0016/0017) with a separate Next.js frontend (ADR-0004). A public gateway fronts the services; all agentic work goes through the Agent Orchestrator (ADR-0001). Supporting services provide agent/tool registries, a model gateway with fallbacks, ingestion/RAG, guardrails, and a Postgres-based state + immutable audit store. Guardrails, cost/token management and observability wrap every request. Code lives under code/frontend and code/backend.</w:t>
      </w:r>
    </w:p>
    <w:p>
      <w:pPr>
        <w:pStyle w:val="Heading2"/>
      </w:pPr>
      <w:r>
        <w:t xml:space="preserve">2.1 Services (containers)</w:t>
      </w:r>
    </w:p>
    <w:p>
      <w:pPr>
        <w:spacing w:after="120" w:line="276"/>
      </w:pPr>
      <w:r>
        <w:t xml:space="preserve">Microservices (ADR-0017): public traffic enters only through the gateway; the orchestrator coordinates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960"/>
        <w:gridCol w:w="2700"/>
      </w:tblGrid>
      <w:tr>
        <w:trPr>
          <w:tblHeader/>
        </w:trP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frontend (web)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UI; assistant; tax workspace; portals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Next.js + React + Tailwind (TS)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gateway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Public edge: authN/Z, tenant, rate limit, idempotency, SSE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Supervisor + Planner/Router/Executor/Critic; calls other services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 + Temporal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model_gateway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Provider abstraction, routing, fallback chain, token metering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ingestion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OCR/parse, extraction, embeddings, retrieval (RAG)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guardrails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Input/output validation, PII/DLP, injection, policy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registry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Agent + tool registries (versioned)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  <w:tr>
        <w:tc>
          <w:tcPr>
            <w:tcW w:type="dxa" w:w="1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audit</w:t>
            </w:r>
          </w:p>
        </w:tc>
        <w:tc>
          <w:tcPr>
            <w:tcW w:type="dxa" w:w="49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Append-only hash-chained audit log + receipts</w:t>
            </w:r>
          </w:p>
        </w:tc>
        <w:tc>
          <w:tcPr>
            <w:tcW w:type="dxa" w:w="27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Python · FastAPI</w:t>
            </w:r>
          </w:p>
        </w:tc>
      </w:tr>
    </w:tbl>
    <w:p>
      <w:pPr>
        <w:pStyle w:val="Heading1"/>
      </w:pPr>
      <w:r>
        <w:t xml:space="preserve">3. Data Model</w:t>
      </w:r>
    </w:p>
    <w:p>
      <w:pPr>
        <w:spacing w:after="120" w:line="276"/>
      </w:pPr>
      <w:r>
        <w:t xml:space="preserve">Relational core in PostgreSQL with mandatory tenant_id and Row-Level Security (ADR-0009). Audit store is append-only and hash-chained. Embeddings in pgvector (ADR-0007/0013). DDL: code/backend/infra/db/schema.sql.</w:t>
      </w:r>
    </w:p>
    <w:p>
      <w:pPr>
        <w:spacing w:after="30" w:before="80"/>
        <w:jc w:val="center"/>
      </w:pPr>
      <w:r>
        <w:drawing>
          <wp:inline distT="0" distB="0" distL="0" distR="0">
            <wp:extent cx="5943600" cy="3933825"/>
            <wp:effectExtent t="0" r="0" b="0" l="0"/>
            <wp:docPr id="1" name="Figure1—Coredatamodel(ERD,simplified)." descr="Figure 1 — Core data model (ERD, simplified)." title="Figure 1 — Core data model (ERD, simplifi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5B66"/>
          <w:sz w:val="17"/>
          <w:szCs w:val="17"/>
        </w:rPr>
        <w:t xml:space="preserve">Figure 1 — Core data model (ERD, simplified).</w:t>
      </w:r>
    </w:p>
    <w:p>
      <w:pPr>
        <w:pStyle w:val="Heading1"/>
      </w:pPr>
      <w:r>
        <w:t xml:space="preserve">4. API Design</w:t>
      </w:r>
    </w:p>
    <w:p>
      <w:pPr>
        <w:spacing w:after="120" w:line="276"/>
      </w:pPr>
      <w:r>
        <w:t xml:space="preserve">Public surface is the gateway; the stable internal contract is the Orchestrator API. Machine-readable spec: code/backend/api/openapi.yaml. The frontend generates its client from this OpenAPI spec (no shared in-process types across FE/BE).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Method · path</w:t>
            </w:r>
          </w:p>
        </w:tc>
        <w:tc>
          <w:tcPr>
            <w:tcW w:type="dxa" w:w="6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POST /v1/runs</w:t>
            </w:r>
          </w:p>
        </w:tc>
        <w:tc>
          <w:tcPr>
            <w:tcW w:type="dxa" w:w="6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Start a run (tenant, module, capability, input, context_refs, budget, idempotency_key)</w:t>
            </w:r>
          </w:p>
        </w:tc>
      </w:tr>
      <w:tr>
        <w:tc>
          <w:tcPr>
            <w:tcW w:type="dxa" w:w="2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GET /v1/runs/{id}</w:t>
            </w:r>
          </w:p>
        </w:tc>
        <w:tc>
          <w:tcPr>
            <w:tcW w:type="dxa" w:w="6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Status, cost, tokens, citations, receipts</w:t>
            </w:r>
          </w:p>
        </w:tc>
      </w:tr>
      <w:tr>
        <w:tc>
          <w:tcPr>
            <w:tcW w:type="dxa" w:w="2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GET /v1/runs/{id}/events</w:t>
            </w:r>
          </w:p>
        </w:tc>
        <w:tc>
          <w:tcPr>
            <w:tcW w:type="dxa" w:w="6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SSE: plan, route, step, tool_call, token/cost deltas, needs_approval, result</w:t>
            </w:r>
          </w:p>
        </w:tc>
      </w:tr>
      <w:tr>
        <w:tc>
          <w:tcPr>
            <w:tcW w:type="dxa" w:w="29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POST /v1/runs/{id}/approve · /reject</w:t>
            </w:r>
          </w:p>
        </w:tc>
        <w:tc>
          <w:tcPr>
            <w:tcW w:type="dxa" w:w="64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Resolve a human approval gate</w:t>
            </w:r>
          </w:p>
        </w:tc>
      </w:tr>
    </w:tbl>
    <w:p>
      <w:pPr>
        <w:pStyle w:val="Heading1"/>
      </w:pPr>
      <w:r>
        <w:t xml:space="preserve">5. Key Runtime Flow — Tax Analysis Run</w:t>
      </w:r>
    </w:p>
    <w:p>
      <w:pPr>
        <w:spacing w:after="120" w:line="276"/>
      </w:pPr>
      <w:r>
        <w:t xml:space="preserve">End-to-end path of one tax-analysis run across the microservices, with guardrails, layered orchestration, model fallback, human gate and audit.</w:t>
      </w:r>
    </w:p>
    <w:p>
      <w:pPr>
        <w:spacing w:after="30" w:before="80"/>
        <w:jc w:val="center"/>
      </w:pPr>
      <w:r>
        <w:drawing>
          <wp:inline distT="0" distB="0" distL="0" distR="0">
            <wp:extent cx="5943600" cy="3619500"/>
            <wp:effectExtent t="0" r="0" b="0" l="0"/>
            <wp:docPr id="1" name="Figure2—Sequenceofatax-analysisrun." descr="Figure 2 — Sequence of a tax-analysis run." title="Figure 2 — Sequence of a tax-analysis ru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5B66"/>
          <w:sz w:val="17"/>
          <w:szCs w:val="17"/>
        </w:rPr>
        <w:t xml:space="preserve">Figure 2 — Sequence of a tax-analysis run.</w:t>
      </w:r>
    </w:p>
    <w:p>
      <w:pPr>
        <w:pStyle w:val="Heading1"/>
      </w:pPr>
      <w:r>
        <w:t xml:space="preserve">6. Deployment Topology</w:t>
      </w:r>
    </w:p>
    <w:p>
      <w:pPr>
        <w:spacing w:after="120" w:line="276"/>
      </w:pPr>
      <w:r>
        <w:t xml:space="preserve">Containers run on Kubernetes behind CDN/WAF/LB, with a Postgres+pgvector / Redis / object-store data plane and external providers/integrations. Multi-region active-active for residency + DR (ADR-0014).</w:t>
      </w:r>
    </w:p>
    <w:p>
      <w:pPr>
        <w:spacing w:after="30" w:before="80"/>
        <w:jc w:val="center"/>
      </w:pPr>
      <w:r>
        <w:drawing>
          <wp:inline distT="0" distB="0" distL="0" distR="0">
            <wp:extent cx="5943600" cy="3933825"/>
            <wp:effectExtent t="0" r="0" b="0" l="0"/>
            <wp:docPr id="1" name="Figure3—Deploymenttopology(perregion)." descr="Figure 3 — Deployment topology (per region)." title="Figure 3 — Deployment topology (per region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5B66"/>
          <w:sz w:val="17"/>
          <w:szCs w:val="17"/>
        </w:rPr>
        <w:t xml:space="preserve">Figure 3 — Deployment topology (per region).</w:t>
      </w:r>
    </w:p>
    <w:p>
      <w:pPr>
        <w:pStyle w:val="Heading1"/>
      </w:pPr>
      <w:r>
        <w:t xml:space="preserve">7. Multi-Tenancy &amp; Data Isolation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Every row carries tenant_id; PostgreSQL RLS enforces isolation; per-service schemas (ADR-0009/0017).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Per-tenant encryption keys; enterprise/residency tenants can use a dedicated schema/DB/region.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Tenant context propagates gateway → orchestrator → services and is asserted in queries and tests.</w:t>
      </w:r>
    </w:p>
    <w:p>
      <w:pPr>
        <w:pStyle w:val="Heading1"/>
      </w:pPr>
      <w:r>
        <w:t xml:space="preserve">8. Security &amp; Threat Model</w:t>
      </w:r>
    </w:p>
    <w:p>
      <w:pPr>
        <w:spacing w:after="120" w:line="276"/>
      </w:pPr>
      <w:r>
        <w:t xml:space="preserve">Defense in depth; STRIDE summary with primary mitigations.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Threat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Spoofing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OIDC, mTLS service-to-service, signed tokens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Tampering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Hash-chained audit log; signed artifacts; RLS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Repudiation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Per-action audit receipts with actor + approval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Information disclosure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Encryption, PII/DLP redaction, least privilege, zero-retention AI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Denial of service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Rate limits, quotas, autoscaling, bulkheads, WAF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Elevation of privilege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RBAC, tenant RLS, sandboxed tools, vault secrets</w:t>
            </w:r>
          </w:p>
        </w:tc>
      </w:tr>
      <w:tr>
        <w:tc>
          <w:tcPr>
            <w:tcW w:type="dxa" w:w="2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Prompt injection / exfiltration</w:t>
            </w:r>
          </w:p>
        </w:tc>
        <w:tc>
          <w:tcPr>
            <w:tcW w:type="dxa" w:w="67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Input guardrails, tool allow-lists, output validation, egress controls</w:t>
            </w:r>
          </w:p>
        </w:tc>
      </w:tr>
    </w:tbl>
    <w:p>
      <w:pPr>
        <w:spacing w:after="120" w:line="276"/>
      </w:pPr>
      <w:r>
        <w:t xml:space="preserve">Compliance: SOC 2 Type II / ISO 27001; GDPR &amp; India DPDP; professional-responsibility limits (analysis + drafts; human owns advice/filings).</w:t>
      </w:r>
    </w:p>
    <w:p>
      <w:pPr>
        <w:pStyle w:val="Heading1"/>
      </w:pPr>
      <w:r>
        <w:t xml:space="preserve">9. Reliability, Scalability &amp; Performance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Stateless services scale horizontally; Temporal handles durable, resumable 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Circuit breakers + bulkheads per provider/tool; retries with backoff; idempotent side effects.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Seasonal peaks handled via autoscaling (scale ingestion/orchestrator independently), queues, load shedding.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Targets: ≥99.9% availability; assistant first-token p95 &lt; 3s; ≥99% successful runs.</w:t>
      </w:r>
    </w:p>
    <w:p>
      <w:pPr>
        <w:pStyle w:val="Heading1"/>
      </w:pPr>
      <w:r>
        <w:t xml:space="preserve">10. Observability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OpenTelemetry trace per run across gateway → services → providers; metrics + structured logs (ADR-0012).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LLM-trace tooling for prompt/response, evals and replay; dashboards + SLO-burn alerts.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Eval-gated releases; canary + online evals.</w:t>
      </w:r>
    </w:p>
    <w:p>
      <w:pPr>
        <w:pStyle w:val="Heading1"/>
      </w:pPr>
      <w:r>
        <w:t xml:space="preserve">11. Environments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Env</w:t>
            </w:r>
          </w:p>
        </w:tc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3A33C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local</w:t>
            </w:r>
          </w:p>
        </w:tc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docker-compose (code/backend)</w:t>
            </w:r>
          </w:p>
        </w:tc>
        <w:tc>
          <w:tcPr>
            <w:tcW w:type="dxa" w:w="4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pg+pgvector, redis, minio, 7 services; mock providers</w:t>
            </w:r>
          </w:p>
        </w:tc>
      </w:tr>
      <w:tr>
        <w:tc>
          <w:tcPr>
            <w:tcW w:type="dxa" w:w="1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preview</w:t>
            </w:r>
          </w:p>
        </w:tc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Per-PR ephemeral</w:t>
            </w:r>
          </w:p>
        </w:tc>
        <w:tc>
          <w:tcPr>
            <w:tcW w:type="dxa" w:w="4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Seeded; CI-deployed</w:t>
            </w:r>
          </w:p>
        </w:tc>
      </w:tr>
      <w:tr>
        <w:tc>
          <w:tcPr>
            <w:tcW w:type="dxa" w:w="1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staging</w:t>
            </w:r>
          </w:p>
        </w:tc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Pre-prod, eval gating</w:t>
            </w:r>
          </w:p>
        </w:tc>
        <w:tc>
          <w:tcPr>
            <w:tcW w:type="dxa" w:w="4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Prod-like; SOC2 dry-run</w:t>
            </w:r>
          </w:p>
        </w:tc>
      </w:tr>
      <w:tr>
        <w:tc>
          <w:tcPr>
            <w:tcW w:type="dxa" w:w="14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production</w:t>
            </w:r>
          </w:p>
        </w:tc>
        <w:tc>
          <w:tcPr>
            <w:tcW w:type="dxa" w:w="360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Live, multi-region</w:t>
            </w:r>
          </w:p>
        </w:tc>
        <w:tc>
          <w:tcPr>
            <w:tcW w:type="dxa" w:w="4360"/>
            <w:tcBorders>
              <w:top w:val="single" w:color="DDDDE3" w:sz="1"/>
              <w:left w:val="single" w:color="DDDDE3" w:sz="1"/>
              <w:bottom w:val="single" w:color="DDDDE3" w:sz="1"/>
              <w:right w:val="single" w:color="DDDDE3" w:sz="1"/>
            </w:tcBorders>
            <w:shd w:fill="F6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111114"/>
                <w:sz w:val="18"/>
                <w:szCs w:val="18"/>
              </w:rPr>
              <w:t xml:space="preserve">Canary deploys</w:t>
            </w:r>
          </w:p>
        </w:tc>
      </w:tr>
    </w:tbl>
    <w:p>
      <w:pPr>
        <w:pStyle w:val="Heading1"/>
      </w:pPr>
      <w:r>
        <w:t xml:space="preserve">12. Technology Summary</w:t>
      </w:r>
    </w:p>
    <w:p>
      <w:pPr>
        <w:spacing w:after="120" w:line="276"/>
      </w:pPr>
      <w:r>
        <w:t xml:space="preserve">Frontend: TypeScript/Next.js/Tailwind (pnpm+Turbo) [ADR-0002/0004]. Backend: Python 3.12 / FastAPI microservices [ADR-0016/0017] with Temporal; model gateway + fallback chain; PostgreSQL+pgvector; Redis; OIDC/RBAC/mTLS; OPA/Cedar policy; OpenTelemetry; Docker/K8s/Terraform/GitHub Actions.</w:t>
      </w:r>
    </w:p>
    <w:p>
      <w:pPr>
        <w:pStyle w:val="Heading1"/>
      </w:pPr>
      <w:r>
        <w:t xml:space="preserve">13. Open Questions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Dedicated vector DB threshold (when pgvector is outgrown).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Per-service DB split timing (start shared-DB + schemas).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gRPC vs HTTP/JSON for internal calls as throughput grows.</w:t>
      </w:r>
    </w:p>
    <w:p>
      <w:pPr>
        <w:spacing w:before="160"/>
      </w:pPr>
      <w:r>
        <w:rPr>
          <w:b/>
          <w:bCs/>
          <w:color w:val="5B5B66"/>
          <w:sz w:val="18"/>
          <w:szCs w:val="18"/>
        </w:rPr>
        <w:t xml:space="preserve">Disclaimer. </w:t>
      </w:r>
      <w:r>
        <w:rPr>
          <w:i/>
          <w:iCs/>
          <w:color w:val="5B5B66"/>
          <w:sz w:val="18"/>
          <w:szCs w:val="18"/>
        </w:rPr>
        <w:t xml:space="preserve">Concept system design; vendor/tool names are starting points to validate in a spike (ADR-0000).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A95"/>
        <w:sz w:val="16"/>
        <w:szCs w:val="16"/>
      </w:rPr>
      <w:t xml:space="preserve">Confidential — concept · Page </w:t>
    </w:r>
    <w:r>
      <w:rPr>
        <w:color w:val="8A8A9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A95"/>
        <w:sz w:val="16"/>
        <w:szCs w:val="16"/>
      </w:rPr>
      <w:t xml:space="preserve">Verra · System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b/>
      <w:bCs/>
      <w:color w:val="111114"/>
      <w:sz w:val="60"/>
      <w:szCs w:val="60"/>
    </w:rPr>
  </w:style>
  <w:style w:type="paragraph" w:styleId="Heading1">
    <w:name w:val="Heading 1"/>
    <w:basedOn w:val="Normal"/>
    <w:next w:val="Normal"/>
    <w:qFormat/>
    <w:pPr>
      <w:pBdr>
        <w:bottom w:val="single" w:color="E0E3FF" w:sz="6" w:space="6"/>
      </w:pBdr>
      <w:spacing w:after="140" w:before="320"/>
      <w:outlineLvl w:val="0"/>
    </w:pPr>
    <w:rPr>
      <w:b/>
      <w:bCs/>
      <w:color w:val="3A33C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b/>
      <w:bCs/>
      <w:color w:val="1111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b5e49f48015894715f2013216bf627b3dd2875.png"/><Relationship Id="rId10" Type="http://schemas.openxmlformats.org/officeDocument/2006/relationships/image" Target="media/18682928a0b51580e4a02d8aae865f3cd6189f39.png"/><Relationship Id="rId11" Type="http://schemas.openxmlformats.org/officeDocument/2006/relationships/image" Target="media/988d67d64ce0b17c6a33f99e84471eb71b7a96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2026-06-16T16:42:54.794Z</dcterms:created>
  <dcterms:modified xsi:type="dcterms:W3CDTF">2026-06-16T16:42:54.794Z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