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35D07B" w14:textId="77777777" w:rsidR="00CD25D9" w:rsidRDefault="00314750" w:rsidP="003B2F80">
      <w:pPr>
        <w:jc w:val="both"/>
      </w:pPr>
      <w:r>
        <w:t>Задание 3.2</w:t>
      </w:r>
    </w:p>
    <w:p w14:paraId="658BAEDC" w14:textId="77777777" w:rsidR="003B2F80" w:rsidRPr="003B2F80" w:rsidRDefault="00314750" w:rsidP="003B2F80">
      <w:pPr>
        <w:shd w:val="clear" w:color="auto" w:fill="FFFFFF"/>
        <w:spacing w:before="100" w:beforeAutospacing="1" w:after="100" w:afterAutospacing="1" w:line="240" w:lineRule="auto"/>
        <w:jc w:val="both"/>
      </w:pPr>
      <w:r>
        <w:t xml:space="preserve">Пункт 1. </w:t>
      </w:r>
      <w:r w:rsidR="003B2F80" w:rsidRPr="003B2F80">
        <w:t>Найдите &lt;Письмо&gt; ФНС России 22.04.2015 N ГД-4-3/6915@ "О порядке заполнения налоговой декларации по налогу на добавленную стоимость".</w:t>
      </w:r>
    </w:p>
    <w:p w14:paraId="3AC02642" w14:textId="77777777" w:rsidR="003B2F80" w:rsidRDefault="003B2F80" w:rsidP="003B2F80">
      <w:pPr>
        <w:spacing w:after="1" w:line="200" w:lineRule="atLeast"/>
        <w:jc w:val="both"/>
      </w:pPr>
      <w:r>
        <w:t xml:space="preserve">Решение: </w:t>
      </w:r>
      <w:r>
        <w:rPr>
          <w:rFonts w:ascii="Tahoma" w:hAnsi="Tahoma" w:cs="Tahoma"/>
          <w:sz w:val="20"/>
        </w:rPr>
        <w:t xml:space="preserve">Документ предоставлен </w:t>
      </w:r>
      <w:hyperlink r:id="rId7">
        <w:proofErr w:type="spellStart"/>
        <w:r>
          <w:rPr>
            <w:rFonts w:ascii="Tahoma" w:hAnsi="Tahoma" w:cs="Tahoma"/>
            <w:color w:val="0000FF"/>
            <w:sz w:val="20"/>
          </w:rPr>
          <w:t>КонсультантПлюс</w:t>
        </w:r>
        <w:proofErr w:type="spellEnd"/>
      </w:hyperlink>
      <w:r>
        <w:rPr>
          <w:rFonts w:ascii="Tahoma" w:hAnsi="Tahoma" w:cs="Tahoma"/>
          <w:sz w:val="20"/>
        </w:rPr>
        <w:br/>
      </w:r>
    </w:p>
    <w:p w14:paraId="788897E0" w14:textId="77777777" w:rsidR="003B2F80" w:rsidRDefault="003B2F80" w:rsidP="003B2F80">
      <w:pPr>
        <w:spacing w:after="1" w:line="220" w:lineRule="atLeast"/>
        <w:jc w:val="both"/>
        <w:outlineLvl w:val="0"/>
      </w:pPr>
    </w:p>
    <w:p w14:paraId="2B376DC7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  <w:b/>
        </w:rPr>
        <w:t>МИНИСТЕРСТВО ФИНАНСОВ РОССИЙСКОЙ ФЕДЕРАЦИИ</w:t>
      </w:r>
    </w:p>
    <w:p w14:paraId="087B3972" w14:textId="77777777" w:rsidR="003B2F80" w:rsidRDefault="003B2F80" w:rsidP="003B2F80">
      <w:pPr>
        <w:spacing w:after="1" w:line="220" w:lineRule="atLeast"/>
        <w:jc w:val="both"/>
      </w:pPr>
    </w:p>
    <w:p w14:paraId="7A578F32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  <w:b/>
        </w:rPr>
        <w:t>ФЕДЕРАЛЬНАЯ НАЛОГОВАЯ СЛУЖБА</w:t>
      </w:r>
    </w:p>
    <w:p w14:paraId="0C1D67A1" w14:textId="77777777" w:rsidR="003B2F80" w:rsidRDefault="003B2F80" w:rsidP="003B2F80">
      <w:pPr>
        <w:spacing w:after="1" w:line="220" w:lineRule="atLeast"/>
        <w:jc w:val="both"/>
      </w:pPr>
    </w:p>
    <w:p w14:paraId="5F1D45B5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  <w:b/>
        </w:rPr>
        <w:t>ПИСЬМО</w:t>
      </w:r>
    </w:p>
    <w:p w14:paraId="01080FC4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  <w:b/>
        </w:rPr>
        <w:t>от 22 апреля 2015 г. N ГД-4-3/6915@</w:t>
      </w:r>
    </w:p>
    <w:p w14:paraId="2D5191F8" w14:textId="77777777" w:rsidR="003B2F80" w:rsidRDefault="003B2F80" w:rsidP="003B2F80">
      <w:pPr>
        <w:spacing w:after="1" w:line="220" w:lineRule="atLeast"/>
        <w:jc w:val="both"/>
      </w:pPr>
    </w:p>
    <w:p w14:paraId="2D59A0AD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  <w:b/>
        </w:rPr>
        <w:t>О ПОРЯДКЕ</w:t>
      </w:r>
    </w:p>
    <w:p w14:paraId="6275DA0F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  <w:b/>
        </w:rPr>
        <w:t>ЗАПОЛНЕНИЯ НАЛОГОВОЙ ДЕКЛАРАЦИИ ПО НАЛОГУ</w:t>
      </w:r>
    </w:p>
    <w:p w14:paraId="5E3B6566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  <w:b/>
        </w:rPr>
        <w:t>НА ДОБАВЛЕННУЮ СТОИМОСТЬ</w:t>
      </w:r>
    </w:p>
    <w:p w14:paraId="27ADEA86" w14:textId="77777777" w:rsidR="003B2F80" w:rsidRDefault="003B2F80" w:rsidP="003B2F80">
      <w:pPr>
        <w:spacing w:after="1" w:line="220" w:lineRule="atLeast"/>
        <w:jc w:val="both"/>
      </w:pPr>
    </w:p>
    <w:p w14:paraId="560AE2CE" w14:textId="77777777" w:rsidR="003B2F80" w:rsidRDefault="003B2F80" w:rsidP="003B2F80">
      <w:pPr>
        <w:spacing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Федеральная налоговая служба в связи с изменениями, внесенными в </w:t>
      </w:r>
      <w:hyperlink r:id="rId8">
        <w:r>
          <w:rPr>
            <w:rFonts w:ascii="Calibri" w:hAnsi="Calibri" w:cs="Calibri"/>
            <w:color w:val="0000FF"/>
          </w:rPr>
          <w:t>пункт 2 статьи 146</w:t>
        </w:r>
      </w:hyperlink>
      <w:r>
        <w:rPr>
          <w:rFonts w:ascii="Calibri" w:hAnsi="Calibri" w:cs="Calibri"/>
        </w:rPr>
        <w:t xml:space="preserve"> Налогового кодекса Российской Федерации (далее - Кодекс) Федеральным </w:t>
      </w:r>
      <w:hyperlink r:id="rId9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от 24.11.2014 N 366-ФЗ "О внесении изменений в часть вторую Налогового кодекса Российской Федерации и отдельные законодательные акты Российской Федерации" (далее - Федеральный закон N 366-ФЗ), сообщает следующее.</w:t>
      </w:r>
    </w:p>
    <w:p w14:paraId="7AABE7A7" w14:textId="77777777" w:rsidR="003B2F80" w:rsidRDefault="003B2F80" w:rsidP="003B2F80">
      <w:pPr>
        <w:spacing w:before="220" w:after="1" w:line="220" w:lineRule="atLeast"/>
        <w:ind w:firstLine="540"/>
        <w:jc w:val="both"/>
      </w:pPr>
      <w:hyperlink r:id="rId10">
        <w:r>
          <w:rPr>
            <w:rFonts w:ascii="Calibri" w:hAnsi="Calibri" w:cs="Calibri"/>
            <w:color w:val="0000FF"/>
          </w:rPr>
          <w:t>Пунктом 2 статьи 1</w:t>
        </w:r>
      </w:hyperlink>
      <w:r>
        <w:rPr>
          <w:rFonts w:ascii="Calibri" w:hAnsi="Calibri" w:cs="Calibri"/>
        </w:rPr>
        <w:t xml:space="preserve"> Федерального закона N 366-ФЗ </w:t>
      </w:r>
      <w:hyperlink r:id="rId11">
        <w:r>
          <w:rPr>
            <w:rFonts w:ascii="Calibri" w:hAnsi="Calibri" w:cs="Calibri"/>
            <w:color w:val="0000FF"/>
          </w:rPr>
          <w:t>пункт 2 статьи 146</w:t>
        </w:r>
      </w:hyperlink>
      <w:r>
        <w:rPr>
          <w:rFonts w:ascii="Calibri" w:hAnsi="Calibri" w:cs="Calibri"/>
        </w:rPr>
        <w:t xml:space="preserve"> Кодекса дополнен </w:t>
      </w:r>
      <w:hyperlink r:id="rId12">
        <w:r>
          <w:rPr>
            <w:rFonts w:ascii="Calibri" w:hAnsi="Calibri" w:cs="Calibri"/>
            <w:color w:val="0000FF"/>
          </w:rPr>
          <w:t>подпунктом 15</w:t>
        </w:r>
      </w:hyperlink>
      <w:r>
        <w:rPr>
          <w:rFonts w:ascii="Calibri" w:hAnsi="Calibri" w:cs="Calibri"/>
        </w:rPr>
        <w:t>, согласно которому не признаются объектом налогообложения налогом на добавленную стоимость операции по реализации имущества и (или) имущественных прав должников, признанных в соответствии с законодательством Российской Федерации несостоятельными (банкротами).</w:t>
      </w:r>
    </w:p>
    <w:p w14:paraId="2FE2E44F" w14:textId="77777777" w:rsidR="003B2F80" w:rsidRDefault="003B2F80" w:rsidP="003B2F80">
      <w:pPr>
        <w:spacing w:before="220"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На основании </w:t>
      </w:r>
      <w:hyperlink r:id="rId13">
        <w:r>
          <w:rPr>
            <w:rFonts w:ascii="Calibri" w:hAnsi="Calibri" w:cs="Calibri"/>
            <w:color w:val="0000FF"/>
          </w:rPr>
          <w:t>пункта 5 статьи 9</w:t>
        </w:r>
      </w:hyperlink>
      <w:r>
        <w:rPr>
          <w:rFonts w:ascii="Calibri" w:hAnsi="Calibri" w:cs="Calibri"/>
        </w:rPr>
        <w:t xml:space="preserve"> указанного Федерального закона N 366-ФЗ </w:t>
      </w:r>
      <w:hyperlink r:id="rId14">
        <w:r>
          <w:rPr>
            <w:rFonts w:ascii="Calibri" w:hAnsi="Calibri" w:cs="Calibri"/>
            <w:color w:val="0000FF"/>
          </w:rPr>
          <w:t>подпункт 15 пункта 2 статьи 146</w:t>
        </w:r>
      </w:hyperlink>
      <w:r>
        <w:rPr>
          <w:rFonts w:ascii="Calibri" w:hAnsi="Calibri" w:cs="Calibri"/>
        </w:rPr>
        <w:t xml:space="preserve"> Кодекса вступил в силу с 01.01.2015.</w:t>
      </w:r>
    </w:p>
    <w:p w14:paraId="2E5D8118" w14:textId="77777777" w:rsidR="003B2F80" w:rsidRDefault="003B2F80" w:rsidP="003B2F80">
      <w:pPr>
        <w:spacing w:before="220"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Согласно </w:t>
      </w:r>
      <w:hyperlink r:id="rId15">
        <w:r>
          <w:rPr>
            <w:rFonts w:ascii="Calibri" w:hAnsi="Calibri" w:cs="Calibri"/>
            <w:color w:val="0000FF"/>
          </w:rPr>
          <w:t>разделу XII</w:t>
        </w:r>
      </w:hyperlink>
      <w:r>
        <w:rPr>
          <w:rFonts w:ascii="Calibri" w:hAnsi="Calibri" w:cs="Calibri"/>
        </w:rPr>
        <w:t xml:space="preserve"> Приложения N 2 к приказу ФНС России от 29.10.2014 N ММВ-7-3/558@ "Об утверждении формы налоговой декларации по налогу на добавленную стоимость, порядка ее заполнения, а также формата представления налоговой декларации по налогу на добавленную стоимость в электронной форме" операции, не признаваемые объектом налогообложения налогом на добавленную стоимость, подлежат отражению в </w:t>
      </w:r>
      <w:hyperlink r:id="rId16">
        <w:r>
          <w:rPr>
            <w:rFonts w:ascii="Calibri" w:hAnsi="Calibri" w:cs="Calibri"/>
            <w:color w:val="0000FF"/>
          </w:rPr>
          <w:t>разделе 7</w:t>
        </w:r>
      </w:hyperlink>
      <w:r>
        <w:rPr>
          <w:rFonts w:ascii="Calibri" w:hAnsi="Calibri" w:cs="Calibri"/>
        </w:rPr>
        <w:t xml:space="preserve"> налоговой декларации по налогу на добавленную стоимость (далее - декларация).</w:t>
      </w:r>
    </w:p>
    <w:p w14:paraId="542E39C1" w14:textId="77777777" w:rsidR="003B2F80" w:rsidRDefault="003B2F80" w:rsidP="003B2F80">
      <w:pPr>
        <w:spacing w:before="220"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При этом, в </w:t>
      </w:r>
      <w:hyperlink r:id="rId17">
        <w:r>
          <w:rPr>
            <w:rFonts w:ascii="Calibri" w:hAnsi="Calibri" w:cs="Calibri"/>
            <w:color w:val="0000FF"/>
          </w:rPr>
          <w:t>графе 1 раздела 7</w:t>
        </w:r>
      </w:hyperlink>
      <w:r>
        <w:rPr>
          <w:rFonts w:ascii="Calibri" w:hAnsi="Calibri" w:cs="Calibri"/>
        </w:rPr>
        <w:t xml:space="preserve"> декларации отражаются коды операций в соответствии с </w:t>
      </w:r>
      <w:hyperlink r:id="rId18">
        <w:r>
          <w:rPr>
            <w:rFonts w:ascii="Calibri" w:hAnsi="Calibri" w:cs="Calibri"/>
            <w:color w:val="0000FF"/>
          </w:rPr>
          <w:t>приложением N 1</w:t>
        </w:r>
      </w:hyperlink>
      <w:r>
        <w:rPr>
          <w:rFonts w:ascii="Calibri" w:hAnsi="Calibri" w:cs="Calibri"/>
        </w:rPr>
        <w:t xml:space="preserve"> к порядку заполнения декларации.</w:t>
      </w:r>
    </w:p>
    <w:p w14:paraId="0C6A7842" w14:textId="77777777" w:rsidR="003B2F80" w:rsidRDefault="003B2F80" w:rsidP="003B2F80">
      <w:pPr>
        <w:spacing w:before="220"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Вместе с тем, коды операций, указанные в </w:t>
      </w:r>
      <w:hyperlink r:id="rId19">
        <w:r>
          <w:rPr>
            <w:rFonts w:ascii="Calibri" w:hAnsi="Calibri" w:cs="Calibri"/>
            <w:color w:val="0000FF"/>
          </w:rPr>
          <w:t>разделе I</w:t>
        </w:r>
      </w:hyperlink>
      <w:r>
        <w:rPr>
          <w:rFonts w:ascii="Calibri" w:hAnsi="Calibri" w:cs="Calibri"/>
        </w:rPr>
        <w:t xml:space="preserve"> "Операции, не признаваемые объектом налогообложения" приложения N 1 к порядку заполнения декларации, не предусматривают кода, соответствующего </w:t>
      </w:r>
      <w:hyperlink r:id="rId20">
        <w:r>
          <w:rPr>
            <w:rFonts w:ascii="Calibri" w:hAnsi="Calibri" w:cs="Calibri"/>
            <w:color w:val="0000FF"/>
          </w:rPr>
          <w:t>подпункту 15 пункта 2 статьи 146</w:t>
        </w:r>
      </w:hyperlink>
      <w:r>
        <w:rPr>
          <w:rFonts w:ascii="Calibri" w:hAnsi="Calibri" w:cs="Calibri"/>
        </w:rPr>
        <w:t xml:space="preserve"> Кодекса.</w:t>
      </w:r>
    </w:p>
    <w:p w14:paraId="6B9438F7" w14:textId="77777777" w:rsidR="003B2F80" w:rsidRDefault="003B2F80" w:rsidP="003B2F80">
      <w:pPr>
        <w:spacing w:before="220" w:after="1" w:line="220" w:lineRule="atLeast"/>
        <w:ind w:firstLine="540"/>
        <w:jc w:val="both"/>
      </w:pPr>
      <w:r>
        <w:rPr>
          <w:rFonts w:ascii="Calibri" w:hAnsi="Calibri" w:cs="Calibri"/>
        </w:rPr>
        <w:t xml:space="preserve">В этой связи, до внесения соответствующих изменений в </w:t>
      </w:r>
      <w:hyperlink r:id="rId21">
        <w:r>
          <w:rPr>
            <w:rFonts w:ascii="Calibri" w:hAnsi="Calibri" w:cs="Calibri"/>
            <w:color w:val="0000FF"/>
          </w:rPr>
          <w:t>приложение N 1</w:t>
        </w:r>
      </w:hyperlink>
      <w:r>
        <w:rPr>
          <w:rFonts w:ascii="Calibri" w:hAnsi="Calibri" w:cs="Calibri"/>
        </w:rPr>
        <w:t xml:space="preserve"> к порядку заполнения декларации налогоплательщики вправе в </w:t>
      </w:r>
      <w:hyperlink r:id="rId22">
        <w:r>
          <w:rPr>
            <w:rFonts w:ascii="Calibri" w:hAnsi="Calibri" w:cs="Calibri"/>
            <w:color w:val="0000FF"/>
          </w:rPr>
          <w:t>разделе 7</w:t>
        </w:r>
      </w:hyperlink>
      <w:r>
        <w:rPr>
          <w:rFonts w:ascii="Calibri" w:hAnsi="Calibri" w:cs="Calibri"/>
        </w:rPr>
        <w:t xml:space="preserve"> декларации отразить операции, предусмотренные в </w:t>
      </w:r>
      <w:hyperlink r:id="rId23">
        <w:r>
          <w:rPr>
            <w:rFonts w:ascii="Calibri" w:hAnsi="Calibri" w:cs="Calibri"/>
            <w:color w:val="0000FF"/>
          </w:rPr>
          <w:t>подпункте 15 пункта 2 статьи 146</w:t>
        </w:r>
      </w:hyperlink>
      <w:r>
        <w:rPr>
          <w:rFonts w:ascii="Calibri" w:hAnsi="Calibri" w:cs="Calibri"/>
        </w:rPr>
        <w:t xml:space="preserve"> Кодекса, под кодом 1010823.</w:t>
      </w:r>
    </w:p>
    <w:p w14:paraId="305A5664" w14:textId="77777777" w:rsidR="003B2F80" w:rsidRDefault="003B2F80" w:rsidP="003B2F80">
      <w:pPr>
        <w:spacing w:before="220" w:after="1" w:line="220" w:lineRule="atLeast"/>
        <w:ind w:firstLine="540"/>
        <w:jc w:val="both"/>
      </w:pPr>
      <w:r>
        <w:rPr>
          <w:rFonts w:ascii="Calibri" w:hAnsi="Calibri" w:cs="Calibri"/>
        </w:rPr>
        <w:t>Одновременно обращаем внимание, что не является нарушением использование налогоплательщиками кода 1010800 до момента официального установления кода 1010823 для указанных операций.</w:t>
      </w:r>
    </w:p>
    <w:p w14:paraId="14B0FB25" w14:textId="77777777" w:rsidR="003B2F80" w:rsidRDefault="003B2F80" w:rsidP="003B2F80">
      <w:pPr>
        <w:spacing w:before="220" w:after="1" w:line="220" w:lineRule="atLeast"/>
        <w:ind w:firstLine="540"/>
        <w:jc w:val="both"/>
      </w:pPr>
      <w:r>
        <w:rPr>
          <w:rFonts w:ascii="Calibri" w:hAnsi="Calibri" w:cs="Calibri"/>
        </w:rPr>
        <w:t>Доведите до нижестоящих налоговых органов и налогоплательщиков.</w:t>
      </w:r>
    </w:p>
    <w:p w14:paraId="649F727C" w14:textId="77777777" w:rsidR="003B2F80" w:rsidRDefault="003B2F80" w:rsidP="003B2F80">
      <w:pPr>
        <w:spacing w:after="1" w:line="220" w:lineRule="atLeast"/>
        <w:jc w:val="both"/>
      </w:pPr>
    </w:p>
    <w:p w14:paraId="53F7FA27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</w:rPr>
        <w:t>Действительный</w:t>
      </w:r>
    </w:p>
    <w:p w14:paraId="6B4494B7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</w:rPr>
        <w:t>государственный советник</w:t>
      </w:r>
    </w:p>
    <w:p w14:paraId="410A158F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</w:rPr>
        <w:t>Российской Федерации</w:t>
      </w:r>
    </w:p>
    <w:p w14:paraId="3AE9EA23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</w:rPr>
        <w:t>3 класса</w:t>
      </w:r>
    </w:p>
    <w:p w14:paraId="3AC81CBA" w14:textId="77777777" w:rsidR="003B2F80" w:rsidRDefault="003B2F80" w:rsidP="003B2F80">
      <w:pPr>
        <w:spacing w:after="1" w:line="220" w:lineRule="atLeast"/>
        <w:jc w:val="both"/>
      </w:pPr>
      <w:r>
        <w:rPr>
          <w:rFonts w:ascii="Calibri" w:hAnsi="Calibri" w:cs="Calibri"/>
        </w:rPr>
        <w:t>Д.Ю.ГРИГОРЕНКО</w:t>
      </w:r>
    </w:p>
    <w:p w14:paraId="2A02E782" w14:textId="77777777" w:rsidR="003B2F80" w:rsidRDefault="003B2F80" w:rsidP="003B2F80">
      <w:pPr>
        <w:spacing w:after="1" w:line="220" w:lineRule="atLeast"/>
        <w:jc w:val="both"/>
      </w:pPr>
    </w:p>
    <w:p w14:paraId="4C783B32" w14:textId="77777777" w:rsidR="003B2F80" w:rsidRDefault="003B2F80" w:rsidP="003B2F80">
      <w:pPr>
        <w:spacing w:after="1" w:line="220" w:lineRule="atLeast"/>
        <w:jc w:val="both"/>
      </w:pPr>
    </w:p>
    <w:p w14:paraId="3B83C641" w14:textId="77777777" w:rsidR="003B2F80" w:rsidRDefault="003B2F80" w:rsidP="003B2F80">
      <w:pPr>
        <w:pBdr>
          <w:bottom w:val="single" w:sz="6" w:space="0" w:color="auto"/>
        </w:pBdr>
        <w:spacing w:before="100" w:after="100"/>
        <w:jc w:val="both"/>
        <w:rPr>
          <w:sz w:val="2"/>
          <w:szCs w:val="2"/>
        </w:rPr>
      </w:pPr>
    </w:p>
    <w:p w14:paraId="49598454" w14:textId="77777777" w:rsidR="00314750" w:rsidRDefault="00314750" w:rsidP="003B2F80">
      <w:pPr>
        <w:jc w:val="both"/>
      </w:pPr>
    </w:p>
    <w:p w14:paraId="0A3666C2" w14:textId="77777777" w:rsidR="00314750" w:rsidRDefault="00314750" w:rsidP="003B2F80">
      <w:pPr>
        <w:jc w:val="both"/>
      </w:pPr>
      <w:r>
        <w:rPr>
          <w:noProof/>
          <w:lang w:eastAsia="ru-RU"/>
        </w:rPr>
        <w:drawing>
          <wp:inline distT="0" distB="0" distL="0" distR="0" wp14:anchorId="5D750744" wp14:editId="748596AD">
            <wp:extent cx="6480175" cy="13049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b="64198"/>
                    <a:stretch/>
                  </pic:blipFill>
                  <pic:spPr bwMode="auto">
                    <a:xfrm>
                      <a:off x="0" y="0"/>
                      <a:ext cx="6480175" cy="1304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0C497" w14:textId="77777777" w:rsidR="00314750" w:rsidRDefault="00314750" w:rsidP="003B2F80">
      <w:pPr>
        <w:jc w:val="both"/>
      </w:pPr>
      <w:r>
        <w:rPr>
          <w:noProof/>
          <w:lang w:eastAsia="ru-RU"/>
        </w:rPr>
        <w:drawing>
          <wp:inline distT="0" distB="0" distL="0" distR="0" wp14:anchorId="3A967653" wp14:editId="19B4CBFF">
            <wp:extent cx="6480175" cy="301386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b="4617"/>
                    <a:stretch/>
                  </pic:blipFill>
                  <pic:spPr bwMode="auto">
                    <a:xfrm>
                      <a:off x="0" y="0"/>
                      <a:ext cx="6484946" cy="30160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52C3D2" w14:textId="77777777" w:rsidR="00314750" w:rsidRDefault="00314750" w:rsidP="003B2F80">
      <w:pPr>
        <w:shd w:val="clear" w:color="auto" w:fill="FFFFFF"/>
        <w:spacing w:before="100" w:beforeAutospacing="1" w:after="100" w:afterAutospacing="1" w:line="240" w:lineRule="auto"/>
        <w:jc w:val="both"/>
      </w:pPr>
      <w:r>
        <w:t xml:space="preserve">Пункт 2. </w:t>
      </w:r>
      <w:r w:rsidR="003B2F80" w:rsidRPr="003B2F80">
        <w:t>Подготовьте подборку документов, принятых Минфином России в 2015-2016 гг. и содержащих информацию, касающуюся бухгалтерской отчетности организаций. Распечатайте список названий документов.</w:t>
      </w:r>
    </w:p>
    <w:p w14:paraId="6C2F4FDD" w14:textId="77777777" w:rsidR="00314750" w:rsidRDefault="003B2F80" w:rsidP="00540E72">
      <w:pPr>
        <w:shd w:val="clear" w:color="auto" w:fill="FFFFFF"/>
        <w:spacing w:before="100" w:beforeAutospacing="1" w:after="100" w:afterAutospacing="1" w:line="240" w:lineRule="auto"/>
        <w:jc w:val="both"/>
      </w:pPr>
      <w:r>
        <w:t>Решение:</w:t>
      </w:r>
    </w:p>
    <w:p w14:paraId="6E17C5CC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Приказ Минфина России от 05.08.2015 N 122н (ред. от 30.06.2026)</w:t>
      </w:r>
    </w:p>
    <w:p w14:paraId="210C0E55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26" w:history="1">
        <w:r>
          <w:rPr>
            <w:rFonts w:ascii="Calibri" w:hAnsi="Calibri" w:cs="Calibri"/>
            <w:color w:val="0000FF"/>
          </w:rPr>
          <w:t>"Об утверждении Порядка проведения экспертизы применимости документов, содержащих международные стандарты аудита, на территории Российской Федерации"</w:t>
        </w:r>
      </w:hyperlink>
    </w:p>
    <w:p w14:paraId="668EAA05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(Зарегистрировано в Минюсте России 24.11.2015 N 39817)</w:t>
      </w:r>
    </w:p>
    <w:p w14:paraId="0A1D652D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outlineLvl w:val="0"/>
        <w:rPr>
          <w:rFonts w:ascii="Calibri" w:hAnsi="Calibri" w:cs="Calibri"/>
        </w:rPr>
      </w:pPr>
    </w:p>
    <w:p w14:paraId="24BF1D48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27" w:history="1">
        <w:r>
          <w:rPr>
            <w:rFonts w:ascii="Calibri" w:hAnsi="Calibri" w:cs="Calibri"/>
            <w:color w:val="0000FF"/>
          </w:rPr>
          <w:t>"Международный стандарт финансовой отчетности (IFRS) 1 "Первое применение Международных стандартов финансовой отчетности"</w:t>
        </w:r>
      </w:hyperlink>
    </w:p>
    <w:p w14:paraId="52D313E5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(введен в действие на территории Российской Федерации Приказом Минфина России от 28.12.2015 N 217н) (ред. от 14.01.2026)</w:t>
      </w:r>
    </w:p>
    <w:p w14:paraId="06AF0FA3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4F792B8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Приказ Минфина России от 01.03.2016 N 15н (ред. от 07.11.2025)</w:t>
      </w:r>
    </w:p>
    <w:p w14:paraId="28C460A8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28" w:history="1">
        <w:r>
          <w:rPr>
            <w:rFonts w:ascii="Calibri" w:hAnsi="Calibri" w:cs="Calibri"/>
            <w:color w:val="0000FF"/>
          </w:rPr>
          <w:t>"Об утверждении дополнительных форм годовой и квартальной бюджетной отчетности об исполнении федерального бюджета и Инструкции о порядке их составления и представления"</w:t>
        </w:r>
      </w:hyperlink>
    </w:p>
    <w:p w14:paraId="10BCCF45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(Зарегистрировано в Минюсте России 29.03.2016 N 41606)</w:t>
      </w:r>
    </w:p>
    <w:p w14:paraId="3668536C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B552967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Приказ Минфина России от 31.12.2016 N 256н (ред. от 13.09.2023)</w:t>
      </w:r>
    </w:p>
    <w:p w14:paraId="6D224615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29" w:history="1">
        <w:r>
          <w:rPr>
            <w:rFonts w:ascii="Calibri" w:hAnsi="Calibri" w:cs="Calibri"/>
            <w:color w:val="0000FF"/>
          </w:rPr>
          <w:t>"Об утверждении федерального стандарта бухгалтерского учета для организаций государственного сектора "Концептуальные основы бухгалтерского учета и отчетности организаций государственного сектора"</w:t>
        </w:r>
      </w:hyperlink>
    </w:p>
    <w:p w14:paraId="56E78286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(Зарегистрировано в Минюсте России 27.04.2017 N 46517)</w:t>
      </w:r>
    </w:p>
    <w:p w14:paraId="0A8721EE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D2D535E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Приказ Минфина России от 09.12.2016 N 231н (ред. от 22.06.2020)</w:t>
      </w:r>
    </w:p>
    <w:p w14:paraId="4EE427EC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30" w:history="1">
        <w:r>
          <w:rPr>
            <w:rFonts w:ascii="Calibri" w:hAnsi="Calibri" w:cs="Calibri"/>
            <w:color w:val="0000FF"/>
          </w:rPr>
          <w:t>"Об утверждении Инструкции о порядке учета и хранения драгоценных металлов, драгоценных камней, продукции из них и ведения отчетности при их производстве, использовании и обращении"</w:t>
        </w:r>
      </w:hyperlink>
    </w:p>
    <w:p w14:paraId="21DC5C6E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(Зарегистрировано в Минюсте России 09.01.2017 N 45111)</w:t>
      </w:r>
    </w:p>
    <w:p w14:paraId="1DD2BDAE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8C38E42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Приказ Минфина России от 30.03.2015 N 52н (ред. от 15.06.2020)</w:t>
      </w:r>
    </w:p>
    <w:p w14:paraId="41354FD8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31" w:history="1">
        <w:r>
          <w:rPr>
            <w:rFonts w:ascii="Calibri" w:hAnsi="Calibri" w:cs="Calibri"/>
            <w:color w:val="0000FF"/>
          </w:rPr>
          <w:t>"Об утверждении форм первичных учетных документов и регистров бухгалтерского учета, применяемых органами государственной власти (государственными органами), органами местного самоуправления, органами управления государственными внебюджетными фондами, государственными (муниципальными) учреждениями, и Методических указаний по их применению"</w:t>
        </w:r>
      </w:hyperlink>
    </w:p>
    <w:p w14:paraId="3544F174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(Зарегистрировано в Минюсте России 02.06.2015 N 37519)</w:t>
      </w:r>
    </w:p>
    <w:p w14:paraId="30EFBCC5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8298BEF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Приказ Минфина России от 31.12.2016 N 258н (ред. от 25.12.2019)</w:t>
      </w:r>
    </w:p>
    <w:p w14:paraId="6CEA3CC4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32" w:history="1">
        <w:r>
          <w:rPr>
            <w:rFonts w:ascii="Calibri" w:hAnsi="Calibri" w:cs="Calibri"/>
            <w:color w:val="0000FF"/>
          </w:rPr>
          <w:t>"Об утверждении федерального стандарта бухгалтерского учета для организаций государственного сектора "Аренда"</w:t>
        </w:r>
      </w:hyperlink>
    </w:p>
    <w:p w14:paraId="712A2F73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(Зарегистрировано в Минюсте России 04.05.2017 N 46606)</w:t>
      </w:r>
    </w:p>
    <w:p w14:paraId="7A6B3F8B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7F719F91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Приказ Минфина России от 31.12.2016 N 257н (ред. от 25.12.2019)</w:t>
      </w:r>
    </w:p>
    <w:p w14:paraId="4503896B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33" w:history="1">
        <w:r>
          <w:rPr>
            <w:rFonts w:ascii="Calibri" w:hAnsi="Calibri" w:cs="Calibri"/>
            <w:color w:val="0000FF"/>
          </w:rPr>
          <w:t>"Об утверждении федерального стандарта бухгалтерского учета для организаций государственного сектора "Основные средства"</w:t>
        </w:r>
      </w:hyperlink>
    </w:p>
    <w:p w14:paraId="33BB9E92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(Зарегистрировано в Минюсте России 27.04.2017 N 46518)</w:t>
      </w:r>
    </w:p>
    <w:p w14:paraId="3FBF1291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2038221D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Приказ Минфина России от 31.12.2016 N 259н (ред. от 13.12.2019)</w:t>
      </w:r>
    </w:p>
    <w:p w14:paraId="2481796B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34" w:history="1">
        <w:r>
          <w:rPr>
            <w:rFonts w:ascii="Calibri" w:hAnsi="Calibri" w:cs="Calibri"/>
            <w:color w:val="0000FF"/>
          </w:rPr>
          <w:t>"Об утверждении федерального стандарта бухгалтерского учета для организаций государственного сектора "Обесценение активов"</w:t>
        </w:r>
      </w:hyperlink>
    </w:p>
    <w:p w14:paraId="161BD145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(Зарегистрировано в Минюсте России 27.04.2017 N 46520)</w:t>
      </w:r>
    </w:p>
    <w:p w14:paraId="4437FDE9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314B62D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Приказ Минфина России от 31.12.2016 N 260н (ред. от 13.12.2019)</w:t>
      </w:r>
    </w:p>
    <w:p w14:paraId="3C9DB0B8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35" w:history="1">
        <w:r>
          <w:rPr>
            <w:rFonts w:ascii="Calibri" w:hAnsi="Calibri" w:cs="Calibri"/>
            <w:color w:val="0000FF"/>
          </w:rPr>
          <w:t>"Об утверждении федерального стандарта бухгалтерского учета для организаций государственного сектора "Представление бухгалтерской (финансовой) отчетности"</w:t>
        </w:r>
      </w:hyperlink>
    </w:p>
    <w:p w14:paraId="08914A8E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(Зарегистрировано в Минюсте России 27.04.2017 N 46519)</w:t>
      </w:r>
    </w:p>
    <w:p w14:paraId="48E5D68B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34646BBD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36" w:history="1">
        <w:r>
          <w:rPr>
            <w:rFonts w:ascii="Calibri" w:hAnsi="Calibri" w:cs="Calibri"/>
            <w:color w:val="0000FF"/>
          </w:rPr>
          <w:t>"Международный стандарт финансовой отчетности (IFRS) 14 "Счета отложенных тарифных разниц"</w:t>
        </w:r>
      </w:hyperlink>
    </w:p>
    <w:p w14:paraId="0B85F1F4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(введен в действие на территории Российской Федерации Приказом Минфина России от 27.06.2016 N 98н) (ред. от 30.10.2018)</w:t>
      </w:r>
    </w:p>
    <w:p w14:paraId="2C9FCB46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094607A9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37" w:history="1">
        <w:r>
          <w:rPr>
            <w:rFonts w:ascii="Calibri" w:hAnsi="Calibri" w:cs="Calibri"/>
            <w:color w:val="0000FF"/>
          </w:rPr>
          <w:t>"Концепция качества аудита: ключевые элементы, формирующие среду для обеспечения качества аудита"</w:t>
        </w:r>
      </w:hyperlink>
    </w:p>
    <w:p w14:paraId="5EA09FF5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5325515F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38" w:history="1">
        <w:r>
          <w:rPr>
            <w:rFonts w:ascii="Calibri" w:hAnsi="Calibri" w:cs="Calibri"/>
            <w:color w:val="0000FF"/>
          </w:rPr>
          <w:t>"Словарь терминов"</w:t>
        </w:r>
      </w:hyperlink>
    </w:p>
    <w:p w14:paraId="59AF7B68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(в контексте документов, содержащих международные стандарты аудита) (по состоянию на 18.03.2019)</w:t>
      </w:r>
    </w:p>
    <w:p w14:paraId="3C1E3314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14:paraId="6D9A4820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Приказ Минфина России от 01.12.2016 N 556 (ред. от 01.06.2021)</w:t>
      </w:r>
    </w:p>
    <w:p w14:paraId="52CDE6DD" w14:textId="77777777" w:rsidR="00540E72" w:rsidRDefault="00540E72" w:rsidP="00540E7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hyperlink r:id="rId39" w:history="1">
        <w:r>
          <w:rPr>
            <w:rFonts w:ascii="Calibri" w:hAnsi="Calibri" w:cs="Calibri"/>
            <w:color w:val="0000FF"/>
          </w:rPr>
          <w:t>"Об утверждении Инструкции по делопроизводству в Министерстве финансов Российской Федерации"</w:t>
        </w:r>
      </w:hyperlink>
    </w:p>
    <w:p w14:paraId="401E9410" w14:textId="77777777" w:rsidR="00314750" w:rsidRDefault="00314750" w:rsidP="003B2F80">
      <w:pPr>
        <w:jc w:val="both"/>
      </w:pPr>
    </w:p>
    <w:p w14:paraId="7022F33D" w14:textId="77777777" w:rsidR="003B2F80" w:rsidRPr="003B2F80" w:rsidRDefault="00314750" w:rsidP="003B2F80">
      <w:pPr>
        <w:shd w:val="clear" w:color="auto" w:fill="FFFFFF"/>
        <w:spacing w:before="100" w:beforeAutospacing="1" w:after="100" w:afterAutospacing="1" w:line="240" w:lineRule="auto"/>
        <w:jc w:val="both"/>
      </w:pPr>
      <w:r>
        <w:t>Пункт 5.</w:t>
      </w:r>
      <w:r w:rsidR="003B2F80" w:rsidRPr="003B2F80">
        <w:t xml:space="preserve"> Найдите документ о взаимодействии, который был совместно принят Федеральной налоговой службой и Министерством внутренних дел Российской Федерации в октябре 2010 г.</w:t>
      </w:r>
    </w:p>
    <w:p w14:paraId="07DA6BAA" w14:textId="77777777" w:rsidR="00314750" w:rsidRDefault="00314750" w:rsidP="003B2F80">
      <w:pPr>
        <w:jc w:val="both"/>
      </w:pPr>
    </w:p>
    <w:p w14:paraId="61612003" w14:textId="77777777" w:rsidR="00314750" w:rsidRDefault="00314750" w:rsidP="003B2F80">
      <w:pPr>
        <w:jc w:val="both"/>
      </w:pPr>
      <w:r w:rsidRPr="00314750">
        <w:rPr>
          <w:noProof/>
        </w:rPr>
        <w:drawing>
          <wp:inline distT="0" distB="0" distL="0" distR="0" wp14:anchorId="3123E4FC" wp14:editId="5C4873E7">
            <wp:extent cx="6480175" cy="123952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123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60953" w14:textId="77777777" w:rsidR="00314750" w:rsidRDefault="00314750" w:rsidP="003B2F80">
      <w:pPr>
        <w:jc w:val="both"/>
      </w:pPr>
      <w:r w:rsidRPr="00314750">
        <w:rPr>
          <w:noProof/>
        </w:rPr>
        <w:drawing>
          <wp:inline distT="0" distB="0" distL="0" distR="0" wp14:anchorId="63DDD18E" wp14:editId="7AD8D274">
            <wp:extent cx="6480175" cy="2845613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b="4669"/>
                    <a:stretch/>
                  </pic:blipFill>
                  <pic:spPr bwMode="auto">
                    <a:xfrm>
                      <a:off x="0" y="0"/>
                      <a:ext cx="6483621" cy="28471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70A71E" w14:textId="77777777" w:rsidR="00A030D5" w:rsidRDefault="00A030D5" w:rsidP="003B2F80">
      <w:pPr>
        <w:jc w:val="both"/>
      </w:pPr>
    </w:p>
    <w:p w14:paraId="5AC80E4D" w14:textId="77777777" w:rsidR="003B2F80" w:rsidRPr="003B2F80" w:rsidRDefault="00A030D5" w:rsidP="003B2F80">
      <w:pPr>
        <w:shd w:val="clear" w:color="auto" w:fill="FFFFFF"/>
        <w:spacing w:before="100" w:beforeAutospacing="1" w:after="100" w:afterAutospacing="1" w:line="240" w:lineRule="auto"/>
        <w:jc w:val="both"/>
      </w:pPr>
      <w:r>
        <w:t>Пункт 7.</w:t>
      </w:r>
      <w:r w:rsidR="003B2F80">
        <w:t xml:space="preserve"> </w:t>
      </w:r>
      <w:r w:rsidR="003B2F80" w:rsidRPr="003B2F80">
        <w:t>Ваша организация решила заняться продажей детских товаров, и руководство попросило вас выяснить, реализация каких детских товаров облагается НДС по ставке 10%. Вы изучили ст. 164 Налогового кодекса РФ, нашли нужный перечень и увидели, что часть предполагаемых к реализации вашей организацией товаров входит в этот перечень, а часть, в частности портфели, - нет. Подготовьте для руководителя требуемый перечень товаров в виде закладки на соответствующий фрагмент Налогового кодекса РФ со своим комментарием, в котором обратите внимание руководства на то, что портфели в указанный перечень не входят.</w:t>
      </w:r>
    </w:p>
    <w:p w14:paraId="47D98919" w14:textId="77777777" w:rsidR="00A030D5" w:rsidRDefault="003B2F80" w:rsidP="003B2F80">
      <w:pPr>
        <w:jc w:val="both"/>
      </w:pPr>
      <w:r>
        <w:t>Решение:</w:t>
      </w:r>
    </w:p>
    <w:p w14:paraId="7F6D57D9" w14:textId="77777777" w:rsidR="00A030D5" w:rsidRPr="00314750" w:rsidRDefault="003B2F80" w:rsidP="003B2F80">
      <w:pPr>
        <w:jc w:val="both"/>
      </w:pPr>
      <w:r>
        <w:rPr>
          <w:noProof/>
          <w:lang w:eastAsia="ru-RU"/>
        </w:rPr>
        <w:drawing>
          <wp:inline distT="0" distB="0" distL="0" distR="0" wp14:anchorId="6DE920E1" wp14:editId="6354CA0E">
            <wp:extent cx="6479511" cy="295534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b="4669"/>
                    <a:stretch/>
                  </pic:blipFill>
                  <pic:spPr bwMode="auto">
                    <a:xfrm>
                      <a:off x="0" y="0"/>
                      <a:ext cx="6491215" cy="29606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030D5" w:rsidRPr="00314750" w:rsidSect="00A675F4">
      <w:headerReference w:type="default" r:id="rId43"/>
      <w:pgSz w:w="11906" w:h="16838"/>
      <w:pgMar w:top="851" w:right="567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A7CFF26" w14:textId="77777777" w:rsidR="006C4C25" w:rsidRDefault="006C4C25" w:rsidP="00C04E60">
      <w:pPr>
        <w:spacing w:after="0" w:line="240" w:lineRule="auto"/>
      </w:pPr>
      <w:r>
        <w:separator/>
      </w:r>
    </w:p>
  </w:endnote>
  <w:endnote w:type="continuationSeparator" w:id="0">
    <w:p w14:paraId="59CE0060" w14:textId="77777777" w:rsidR="006C4C25" w:rsidRDefault="006C4C25" w:rsidP="00C04E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CC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BD70619" w14:textId="77777777" w:rsidR="006C4C25" w:rsidRDefault="006C4C25" w:rsidP="00C04E60">
      <w:pPr>
        <w:spacing w:after="0" w:line="240" w:lineRule="auto"/>
      </w:pPr>
      <w:r>
        <w:separator/>
      </w:r>
    </w:p>
  </w:footnote>
  <w:footnote w:type="continuationSeparator" w:id="0">
    <w:p w14:paraId="524A355F" w14:textId="77777777" w:rsidR="006C4C25" w:rsidRDefault="006C4C25" w:rsidP="00C04E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913126974"/>
      <w:docPartObj>
        <w:docPartGallery w:val="Page Numbers (Top of Page)"/>
        <w:docPartUnique/>
      </w:docPartObj>
    </w:sdtPr>
    <w:sdtEndPr/>
    <w:sdtContent>
      <w:p w14:paraId="19E390F0" w14:textId="77777777" w:rsidR="00C04E60" w:rsidRDefault="00C04E60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40E72">
          <w:rPr>
            <w:noProof/>
          </w:rPr>
          <w:t>4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E3A2163"/>
    <w:multiLevelType w:val="multilevel"/>
    <w:tmpl w:val="045A2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280E77"/>
    <w:multiLevelType w:val="multilevel"/>
    <w:tmpl w:val="34FCF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4122AC6"/>
    <w:multiLevelType w:val="multilevel"/>
    <w:tmpl w:val="34F2A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B80D46"/>
    <w:multiLevelType w:val="multilevel"/>
    <w:tmpl w:val="E64EB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9252014">
    <w:abstractNumId w:val="3"/>
  </w:num>
  <w:num w:numId="2" w16cid:durableId="1153638869">
    <w:abstractNumId w:val="1"/>
  </w:num>
  <w:num w:numId="3" w16cid:durableId="919020210">
    <w:abstractNumId w:val="0"/>
  </w:num>
  <w:num w:numId="4" w16cid:durableId="650526897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00"/>
  <w:proofState w:spelling="clean"/>
  <w:revisionView w:inkAnnotation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25D9"/>
    <w:rsid w:val="000F6BA0"/>
    <w:rsid w:val="00182307"/>
    <w:rsid w:val="00275163"/>
    <w:rsid w:val="00314750"/>
    <w:rsid w:val="003242E2"/>
    <w:rsid w:val="003B2F80"/>
    <w:rsid w:val="00444CD7"/>
    <w:rsid w:val="00540E72"/>
    <w:rsid w:val="006C4C25"/>
    <w:rsid w:val="00A01B6E"/>
    <w:rsid w:val="00A030D5"/>
    <w:rsid w:val="00A675F4"/>
    <w:rsid w:val="00C04E60"/>
    <w:rsid w:val="00CD25D9"/>
    <w:rsid w:val="00DB4B68"/>
    <w:rsid w:val="00EF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E7596D"/>
  <w15:docId w15:val="{C7DF69A9-5087-4313-AED0-2A27E4ED3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CD25D9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Page">
    <w:name w:val="ConsPlusTitlePage"/>
    <w:rsid w:val="00CD25D9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styleId="a3">
    <w:name w:val="header"/>
    <w:basedOn w:val="a"/>
    <w:link w:val="a4"/>
    <w:uiPriority w:val="99"/>
    <w:unhideWhenUsed/>
    <w:rsid w:val="00C04E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C04E60"/>
  </w:style>
  <w:style w:type="paragraph" w:styleId="a5">
    <w:name w:val="footer"/>
    <w:basedOn w:val="a"/>
    <w:link w:val="a6"/>
    <w:uiPriority w:val="99"/>
    <w:unhideWhenUsed/>
    <w:rsid w:val="00C04E6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C04E60"/>
  </w:style>
  <w:style w:type="paragraph" w:styleId="a7">
    <w:name w:val="Balloon Text"/>
    <w:basedOn w:val="a"/>
    <w:link w:val="a8"/>
    <w:uiPriority w:val="99"/>
    <w:semiHidden/>
    <w:unhideWhenUsed/>
    <w:rsid w:val="00EF21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8">
    <w:name w:val="Текст выноски Знак"/>
    <w:basedOn w:val="a0"/>
    <w:link w:val="a7"/>
    <w:uiPriority w:val="99"/>
    <w:semiHidden/>
    <w:rsid w:val="00EF21D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05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2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base=LAW&amp;n=283620&amp;dst=100763" TargetMode="External"/><Relationship Id="rId18" Type="http://schemas.openxmlformats.org/officeDocument/2006/relationships/hyperlink" Target="https://login.consultant.ru/link/?req=doc&amp;base=LAW&amp;n=438268&amp;dst=101128" TargetMode="External"/><Relationship Id="rId26" Type="http://schemas.openxmlformats.org/officeDocument/2006/relationships/hyperlink" Target="https://login.consultant.ru/link/?req=doc&amp;base=LAW&amp;n=540319" TargetMode="External"/><Relationship Id="rId39" Type="http://schemas.openxmlformats.org/officeDocument/2006/relationships/hyperlink" Target="https://login.consultant.ru/link/?req=doc&amp;base=LAW&amp;n=394753" TargetMode="External"/><Relationship Id="rId21" Type="http://schemas.openxmlformats.org/officeDocument/2006/relationships/hyperlink" Target="https://login.consultant.ru/link/?req=doc&amp;base=LAW&amp;n=152657&amp;dst=101128" TargetMode="External"/><Relationship Id="rId34" Type="http://schemas.openxmlformats.org/officeDocument/2006/relationships/hyperlink" Target="https://login.consultant.ru/link/?req=doc&amp;base=LAW&amp;n=346111" TargetMode="External"/><Relationship Id="rId42" Type="http://schemas.openxmlformats.org/officeDocument/2006/relationships/image" Target="media/image5.png"/><Relationship Id="rId7" Type="http://schemas.openxmlformats.org/officeDocument/2006/relationships/hyperlink" Target="https://www.consultant.ru" TargetMode="External"/><Relationship Id="rId2" Type="http://schemas.openxmlformats.org/officeDocument/2006/relationships/styles" Target="styles.xml"/><Relationship Id="rId16" Type="http://schemas.openxmlformats.org/officeDocument/2006/relationships/hyperlink" Target="https://login.consultant.ru/link/?req=doc&amp;base=LAW&amp;n=438268&amp;dst=100310" TargetMode="External"/><Relationship Id="rId29" Type="http://schemas.openxmlformats.org/officeDocument/2006/relationships/hyperlink" Target="https://login.consultant.ru/link/?req=doc&amp;base=LAW&amp;n=460116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ogin.consultant.ru/link/?req=doc&amp;base=LAW&amp;n=371946&amp;dst=100048" TargetMode="External"/><Relationship Id="rId24" Type="http://schemas.openxmlformats.org/officeDocument/2006/relationships/image" Target="media/image1.png"/><Relationship Id="rId32" Type="http://schemas.openxmlformats.org/officeDocument/2006/relationships/hyperlink" Target="https://login.consultant.ru/link/?req=doc&amp;base=LAW&amp;n=347882" TargetMode="External"/><Relationship Id="rId37" Type="http://schemas.openxmlformats.org/officeDocument/2006/relationships/hyperlink" Target="https://login.consultant.ru/link/?req=doc&amp;base=LAW&amp;n=211241" TargetMode="External"/><Relationship Id="rId40" Type="http://schemas.openxmlformats.org/officeDocument/2006/relationships/image" Target="media/image3.pn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login.consultant.ru/link/?req=doc&amp;base=LAW&amp;n=438268&amp;dst=101030" TargetMode="External"/><Relationship Id="rId23" Type="http://schemas.openxmlformats.org/officeDocument/2006/relationships/hyperlink" Target="https://login.consultant.ru/link/?req=doc&amp;base=LAW&amp;n=371946&amp;dst=10514" TargetMode="External"/><Relationship Id="rId28" Type="http://schemas.openxmlformats.org/officeDocument/2006/relationships/hyperlink" Target="https://login.consultant.ru/link/?req=doc&amp;base=LAW&amp;n=521041" TargetMode="External"/><Relationship Id="rId36" Type="http://schemas.openxmlformats.org/officeDocument/2006/relationships/hyperlink" Target="https://login.consultant.ru/link/?req=doc&amp;base=LAW&amp;n=311451" TargetMode="External"/><Relationship Id="rId10" Type="http://schemas.openxmlformats.org/officeDocument/2006/relationships/hyperlink" Target="https://login.consultant.ru/link/?req=doc&amp;base=LAW&amp;n=283620&amp;dst=100011" TargetMode="External"/><Relationship Id="rId19" Type="http://schemas.openxmlformats.org/officeDocument/2006/relationships/hyperlink" Target="https://login.consultant.ru/link/?req=doc&amp;base=LAW&amp;n=438268&amp;dst=101136" TargetMode="External"/><Relationship Id="rId31" Type="http://schemas.openxmlformats.org/officeDocument/2006/relationships/hyperlink" Target="https://login.consultant.ru/link/?req=doc&amp;base=LAW&amp;n=362627" TargetMode="External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login.consultant.ru/link/?req=doc&amp;base=LAW&amp;n=283620&amp;dst=100011" TargetMode="External"/><Relationship Id="rId14" Type="http://schemas.openxmlformats.org/officeDocument/2006/relationships/hyperlink" Target="https://login.consultant.ru/link/?req=doc&amp;base=LAW&amp;n=371946&amp;dst=10514" TargetMode="External"/><Relationship Id="rId22" Type="http://schemas.openxmlformats.org/officeDocument/2006/relationships/hyperlink" Target="https://login.consultant.ru/link/?req=doc&amp;base=LAW&amp;n=152657&amp;dst=100310" TargetMode="External"/><Relationship Id="rId27" Type="http://schemas.openxmlformats.org/officeDocument/2006/relationships/hyperlink" Target="https://login.consultant.ru/link/?req=doc&amp;base=LAW&amp;n=530315" TargetMode="External"/><Relationship Id="rId30" Type="http://schemas.openxmlformats.org/officeDocument/2006/relationships/hyperlink" Target="https://login.consultant.ru/link/?req=doc&amp;base=LAW&amp;n=363479" TargetMode="External"/><Relationship Id="rId35" Type="http://schemas.openxmlformats.org/officeDocument/2006/relationships/hyperlink" Target="https://login.consultant.ru/link/?req=doc&amp;base=LAW&amp;n=343977" TargetMode="External"/><Relationship Id="rId43" Type="http://schemas.openxmlformats.org/officeDocument/2006/relationships/header" Target="header1.xml"/><Relationship Id="rId8" Type="http://schemas.openxmlformats.org/officeDocument/2006/relationships/hyperlink" Target="https://login.consultant.ru/link/?req=doc&amp;base=LAW&amp;n=371946&amp;dst=10004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ogin.consultant.ru/link/?req=doc&amp;base=LAW&amp;n=371946&amp;dst=10514" TargetMode="External"/><Relationship Id="rId17" Type="http://schemas.openxmlformats.org/officeDocument/2006/relationships/hyperlink" Target="https://login.consultant.ru/link/?req=doc&amp;base=LAW&amp;n=438268&amp;dst=100312" TargetMode="External"/><Relationship Id="rId25" Type="http://schemas.openxmlformats.org/officeDocument/2006/relationships/image" Target="media/image2.png"/><Relationship Id="rId33" Type="http://schemas.openxmlformats.org/officeDocument/2006/relationships/hyperlink" Target="https://login.consultant.ru/link/?req=doc&amp;base=LAW&amp;n=344754" TargetMode="External"/><Relationship Id="rId38" Type="http://schemas.openxmlformats.org/officeDocument/2006/relationships/hyperlink" Target="https://login.consultant.ru/link/?req=doc&amp;base=LAW&amp;n=211197" TargetMode="External"/><Relationship Id="rId20" Type="http://schemas.openxmlformats.org/officeDocument/2006/relationships/hyperlink" Target="https://login.consultant.ru/link/?req=doc&amp;base=LAW&amp;n=371946&amp;dst=10514" TargetMode="External"/><Relationship Id="rId4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1445</Words>
  <Characters>8242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Рокунова Ольга Васильевна</dc:creator>
  <cp:lastModifiedBy>Полина Нимченко</cp:lastModifiedBy>
  <cp:revision>2</cp:revision>
  <cp:lastPrinted>2020-03-06T09:23:00Z</cp:lastPrinted>
  <dcterms:created xsi:type="dcterms:W3CDTF">2026-09-21T15:19:00Z</dcterms:created>
  <dcterms:modified xsi:type="dcterms:W3CDTF">2026-09-21T15:19:00Z</dcterms:modified>
</cp:coreProperties>
</file>