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23" w:type="dxa"/>
        <w:tblInd w:w="-176" w:type="dxa"/>
        <w:tblLook w:val="00A0" w:firstRow="1" w:lastRow="0" w:firstColumn="1" w:lastColumn="0" w:noHBand="0" w:noVBand="0"/>
      </w:tblPr>
      <w:tblGrid>
        <w:gridCol w:w="9923"/>
      </w:tblGrid>
      <w:tr w:rsidR="00645E3E" w:rsidRPr="0022247F" w:rsidTr="00645E3E">
        <w:tc>
          <w:tcPr>
            <w:tcW w:w="9923" w:type="dxa"/>
          </w:tcPr>
          <w:p w:rsidR="00645E3E" w:rsidRPr="0022247F" w:rsidRDefault="00645E3E" w:rsidP="00645E3E">
            <w:pPr>
              <w:tabs>
                <w:tab w:val="center" w:pos="4677"/>
                <w:tab w:val="right" w:pos="9355"/>
              </w:tabs>
              <w:spacing w:before="40" w:after="40"/>
              <w:jc w:val="center"/>
              <w:rPr>
                <w:rFonts w:ascii="Times New Roman" w:hAnsi="Times New Roman"/>
                <w:b/>
                <w:smallCaps/>
              </w:rPr>
            </w:pPr>
            <w:r w:rsidRPr="0022247F">
              <w:rPr>
                <w:rFonts w:ascii="Times New Roman" w:hAnsi="Times New Roman"/>
                <w:b/>
                <w:smallCaps/>
              </w:rPr>
              <w:t>МИНИСТЕРСТВО НАУКИ И ВЫСШЕГО ОБРАЗОВАНИЯ РФ</w:t>
            </w:r>
          </w:p>
        </w:tc>
      </w:tr>
      <w:tr w:rsidR="00645E3E" w:rsidRPr="0022247F" w:rsidTr="00645E3E">
        <w:tc>
          <w:tcPr>
            <w:tcW w:w="9923" w:type="dxa"/>
            <w:hideMark/>
          </w:tcPr>
          <w:p w:rsidR="009F3C8A" w:rsidRDefault="00645E3E" w:rsidP="00645E3E">
            <w:pPr>
              <w:tabs>
                <w:tab w:val="center" w:pos="4677"/>
                <w:tab w:val="right" w:pos="9355"/>
              </w:tabs>
              <w:spacing w:before="40" w:after="40"/>
              <w:jc w:val="center"/>
              <w:rPr>
                <w:rFonts w:ascii="Times New Roman" w:hAnsi="Times New Roman"/>
                <w:b/>
                <w:smallCaps/>
              </w:rPr>
            </w:pPr>
            <w:r w:rsidRPr="0022247F">
              <w:rPr>
                <w:rFonts w:ascii="Times New Roman" w:hAnsi="Times New Roman"/>
                <w:b/>
                <w:smallCaps/>
              </w:rPr>
              <w:t>Федеральное государственное автономное образовательное учреждение</w:t>
            </w:r>
          </w:p>
          <w:p w:rsidR="00645E3E" w:rsidRDefault="00645E3E" w:rsidP="00645E3E">
            <w:pPr>
              <w:tabs>
                <w:tab w:val="center" w:pos="4677"/>
                <w:tab w:val="right" w:pos="9355"/>
              </w:tabs>
              <w:spacing w:before="40" w:after="40"/>
              <w:jc w:val="center"/>
              <w:rPr>
                <w:rFonts w:ascii="Times New Roman" w:hAnsi="Times New Roman"/>
                <w:b/>
                <w:smallCaps/>
              </w:rPr>
            </w:pPr>
            <w:r w:rsidRPr="0022247F">
              <w:rPr>
                <w:rFonts w:ascii="Times New Roman" w:hAnsi="Times New Roman"/>
                <w:b/>
                <w:smallCaps/>
              </w:rPr>
              <w:t>высшего образования</w:t>
            </w:r>
          </w:p>
          <w:p w:rsidR="00645E3E" w:rsidRPr="0022247F" w:rsidRDefault="00645E3E" w:rsidP="00645E3E">
            <w:pPr>
              <w:tabs>
                <w:tab w:val="center" w:pos="4677"/>
                <w:tab w:val="right" w:pos="9355"/>
              </w:tabs>
              <w:spacing w:before="40" w:after="40"/>
              <w:jc w:val="center"/>
              <w:rPr>
                <w:rFonts w:ascii="Times New Roman" w:hAnsi="Times New Roman"/>
                <w:b/>
                <w:smallCaps/>
                <w:sz w:val="24"/>
                <w:szCs w:val="24"/>
              </w:rPr>
            </w:pPr>
            <w:r w:rsidRPr="0022247F">
              <w:rPr>
                <w:rFonts w:ascii="Times New Roman" w:hAnsi="Times New Roman"/>
                <w:b/>
                <w:smallCaps/>
              </w:rPr>
              <w:t>«Национальный исследовательский Нижегородский государственный университет им. Н.И. Лобачевского»</w:t>
            </w:r>
          </w:p>
        </w:tc>
      </w:tr>
    </w:tbl>
    <w:p w:rsidR="00F04239" w:rsidRDefault="00F04239">
      <w:pPr>
        <w:rPr>
          <w:rFonts w:ascii="Times New Roman" w:hAnsi="Times New Roman" w:cs="Times New Roman"/>
          <w:b/>
          <w:sz w:val="28"/>
          <w:szCs w:val="28"/>
        </w:rPr>
      </w:pPr>
    </w:p>
    <w:p w:rsidR="00F04239" w:rsidRPr="00645E3E" w:rsidRDefault="00645E3E" w:rsidP="00645E3E">
      <w:pPr>
        <w:autoSpaceDE w:val="0"/>
        <w:autoSpaceDN w:val="0"/>
        <w:spacing w:after="0" w:line="360" w:lineRule="auto"/>
        <w:jc w:val="center"/>
        <w:rPr>
          <w:rFonts w:ascii="Times New Roman" w:hAnsi="Times New Roman"/>
          <w:b/>
          <w:bCs/>
          <w:sz w:val="24"/>
          <w:szCs w:val="24"/>
        </w:rPr>
      </w:pPr>
      <w:r w:rsidRPr="00645E3E">
        <w:rPr>
          <w:rFonts w:ascii="Times New Roman" w:hAnsi="Times New Roman"/>
          <w:b/>
          <w:bCs/>
          <w:sz w:val="24"/>
          <w:szCs w:val="24"/>
        </w:rPr>
        <w:t>Институт экономики</w:t>
      </w:r>
    </w:p>
    <w:p w:rsidR="00F04239" w:rsidRPr="00645E3E" w:rsidRDefault="00645E3E" w:rsidP="00645E3E">
      <w:pPr>
        <w:autoSpaceDE w:val="0"/>
        <w:autoSpaceDN w:val="0"/>
        <w:spacing w:after="0" w:line="360" w:lineRule="auto"/>
        <w:jc w:val="center"/>
        <w:rPr>
          <w:rFonts w:ascii="Times New Roman" w:hAnsi="Times New Roman"/>
          <w:b/>
          <w:bCs/>
          <w:sz w:val="24"/>
          <w:szCs w:val="24"/>
        </w:rPr>
      </w:pPr>
      <w:r w:rsidRPr="00645E3E">
        <w:rPr>
          <w:rFonts w:ascii="Times New Roman" w:hAnsi="Times New Roman"/>
          <w:b/>
          <w:bCs/>
          <w:sz w:val="24"/>
          <w:szCs w:val="24"/>
        </w:rPr>
        <w:t>Кафедра финансов и кредита</w:t>
      </w:r>
    </w:p>
    <w:p w:rsidR="00F04239" w:rsidRDefault="00F04239" w:rsidP="00F04239">
      <w:pPr>
        <w:autoSpaceDE w:val="0"/>
        <w:autoSpaceDN w:val="0"/>
        <w:jc w:val="center"/>
        <w:rPr>
          <w:rFonts w:ascii="Times New Roman" w:hAnsi="Times New Roman"/>
          <w:b/>
          <w:bCs/>
          <w:sz w:val="36"/>
          <w:szCs w:val="36"/>
        </w:rPr>
      </w:pPr>
    </w:p>
    <w:p w:rsidR="004C68A9" w:rsidRDefault="004C68A9" w:rsidP="00F04239">
      <w:pPr>
        <w:autoSpaceDE w:val="0"/>
        <w:autoSpaceDN w:val="0"/>
        <w:jc w:val="center"/>
        <w:rPr>
          <w:rFonts w:ascii="Times New Roman" w:hAnsi="Times New Roman"/>
          <w:b/>
          <w:bCs/>
          <w:sz w:val="36"/>
          <w:szCs w:val="36"/>
        </w:rPr>
      </w:pPr>
    </w:p>
    <w:p w:rsidR="004C68A9" w:rsidRDefault="004C68A9" w:rsidP="00F04239">
      <w:pPr>
        <w:autoSpaceDE w:val="0"/>
        <w:autoSpaceDN w:val="0"/>
        <w:jc w:val="center"/>
        <w:rPr>
          <w:rFonts w:ascii="Times New Roman" w:hAnsi="Times New Roman"/>
          <w:b/>
          <w:bCs/>
          <w:sz w:val="36"/>
          <w:szCs w:val="36"/>
        </w:rPr>
      </w:pPr>
    </w:p>
    <w:p w:rsidR="00F04239" w:rsidRPr="00EC63EA" w:rsidRDefault="00F178DA" w:rsidP="00F04239">
      <w:pPr>
        <w:autoSpaceDE w:val="0"/>
        <w:autoSpaceDN w:val="0"/>
        <w:jc w:val="center"/>
        <w:rPr>
          <w:rFonts w:ascii="Times New Roman" w:hAnsi="Times New Roman"/>
          <w:b/>
          <w:bCs/>
          <w:sz w:val="36"/>
          <w:szCs w:val="36"/>
        </w:rPr>
      </w:pPr>
      <w:r>
        <w:rPr>
          <w:rFonts w:ascii="Times New Roman" w:hAnsi="Times New Roman"/>
          <w:b/>
          <w:bCs/>
          <w:sz w:val="36"/>
          <w:szCs w:val="36"/>
        </w:rPr>
        <w:t>Отчет</w:t>
      </w:r>
    </w:p>
    <w:p w:rsidR="00F04239" w:rsidRDefault="0062672F" w:rsidP="00C35D8C">
      <w:pPr>
        <w:jc w:val="center"/>
        <w:rPr>
          <w:rFonts w:ascii="Times New Roman" w:hAnsi="Times New Roman" w:cs="Times New Roman"/>
          <w:b/>
          <w:sz w:val="28"/>
          <w:szCs w:val="28"/>
        </w:rPr>
      </w:pPr>
      <w:r>
        <w:rPr>
          <w:rFonts w:ascii="Times New Roman" w:hAnsi="Times New Roman" w:cs="Times New Roman"/>
          <w:b/>
          <w:sz w:val="28"/>
          <w:szCs w:val="28"/>
        </w:rPr>
        <w:t>п</w:t>
      </w:r>
      <w:r w:rsidR="00264DDA">
        <w:rPr>
          <w:rFonts w:ascii="Times New Roman" w:hAnsi="Times New Roman" w:cs="Times New Roman"/>
          <w:b/>
          <w:sz w:val="28"/>
          <w:szCs w:val="28"/>
        </w:rPr>
        <w:t>о дисциплине «</w:t>
      </w:r>
      <w:r w:rsidR="00C35D8C">
        <w:rPr>
          <w:rFonts w:ascii="Times New Roman" w:hAnsi="Times New Roman" w:cs="Times New Roman"/>
          <w:b/>
          <w:sz w:val="28"/>
          <w:szCs w:val="28"/>
        </w:rPr>
        <w:t>Справочные информационные системы</w:t>
      </w:r>
      <w:r w:rsidR="00264DDA">
        <w:rPr>
          <w:rFonts w:ascii="Times New Roman" w:hAnsi="Times New Roman" w:cs="Times New Roman"/>
          <w:b/>
          <w:sz w:val="28"/>
          <w:szCs w:val="28"/>
        </w:rPr>
        <w:t>»</w:t>
      </w:r>
    </w:p>
    <w:p w:rsidR="00F178DA" w:rsidRDefault="00F178DA" w:rsidP="00F178DA">
      <w:pPr>
        <w:ind w:firstLine="567"/>
        <w:jc w:val="center"/>
        <w:rPr>
          <w:rFonts w:ascii="Times New Roman" w:hAnsi="Times New Roman" w:cs="Times New Roman"/>
          <w:b/>
          <w:sz w:val="28"/>
          <w:szCs w:val="28"/>
        </w:rPr>
      </w:pPr>
    </w:p>
    <w:p w:rsidR="00F178DA" w:rsidRDefault="00F178DA" w:rsidP="00F178DA">
      <w:pPr>
        <w:ind w:firstLine="567"/>
        <w:jc w:val="center"/>
        <w:rPr>
          <w:rFonts w:ascii="Times New Roman" w:hAnsi="Times New Roman" w:cs="Times New Roman"/>
          <w:b/>
          <w:sz w:val="28"/>
          <w:szCs w:val="28"/>
        </w:rPr>
      </w:pPr>
    </w:p>
    <w:p w:rsidR="0062672F" w:rsidRDefault="0062672F" w:rsidP="00F178DA">
      <w:pPr>
        <w:ind w:firstLine="567"/>
        <w:jc w:val="center"/>
        <w:rPr>
          <w:rFonts w:ascii="Times New Roman" w:hAnsi="Times New Roman" w:cs="Times New Roman"/>
          <w:b/>
          <w:sz w:val="28"/>
          <w:szCs w:val="28"/>
        </w:rPr>
      </w:pPr>
    </w:p>
    <w:p w:rsidR="004C68A9" w:rsidRDefault="004C68A9" w:rsidP="00F178DA">
      <w:pPr>
        <w:ind w:firstLine="567"/>
        <w:jc w:val="center"/>
        <w:rPr>
          <w:rFonts w:ascii="Times New Roman" w:hAnsi="Times New Roman" w:cs="Times New Roman"/>
          <w:b/>
          <w:sz w:val="28"/>
          <w:szCs w:val="28"/>
        </w:rPr>
      </w:pPr>
    </w:p>
    <w:p w:rsidR="0062672F" w:rsidRDefault="0062672F" w:rsidP="00F178DA">
      <w:pPr>
        <w:ind w:firstLine="567"/>
        <w:jc w:val="center"/>
        <w:rPr>
          <w:rFonts w:ascii="Times New Roman" w:hAnsi="Times New Roman" w:cs="Times New Roman"/>
          <w:b/>
          <w:sz w:val="28"/>
          <w:szCs w:val="28"/>
        </w:rPr>
      </w:pPr>
    </w:p>
    <w:p w:rsidR="0062672F" w:rsidRDefault="0062672F" w:rsidP="00F178DA">
      <w:pPr>
        <w:ind w:firstLine="567"/>
        <w:jc w:val="center"/>
        <w:rPr>
          <w:rFonts w:ascii="Times New Roman" w:hAnsi="Times New Roman" w:cs="Times New Roman"/>
          <w:b/>
          <w:sz w:val="28"/>
          <w:szCs w:val="28"/>
        </w:rPr>
      </w:pPr>
    </w:p>
    <w:p w:rsidR="0062672F" w:rsidRPr="0062672F" w:rsidRDefault="0062672F" w:rsidP="0062672F">
      <w:pPr>
        <w:ind w:left="5103" w:firstLine="5"/>
        <w:rPr>
          <w:rFonts w:ascii="Times New Roman" w:hAnsi="Times New Roman" w:cs="Times New Roman"/>
          <w:sz w:val="28"/>
          <w:szCs w:val="28"/>
        </w:rPr>
      </w:pPr>
      <w:r w:rsidRPr="0062672F">
        <w:rPr>
          <w:rFonts w:ascii="Times New Roman" w:hAnsi="Times New Roman" w:cs="Times New Roman"/>
          <w:sz w:val="28"/>
          <w:szCs w:val="28"/>
        </w:rPr>
        <w:t>Выполнил студент:</w:t>
      </w:r>
    </w:p>
    <w:p w:rsidR="00F178DA" w:rsidRPr="009F3C8A" w:rsidRDefault="009F3C8A" w:rsidP="0062672F">
      <w:pPr>
        <w:ind w:left="5103" w:firstLine="5"/>
        <w:rPr>
          <w:rFonts w:ascii="Times New Roman" w:hAnsi="Times New Roman" w:cs="Times New Roman"/>
          <w:sz w:val="28"/>
          <w:szCs w:val="28"/>
        </w:rPr>
      </w:pPr>
      <w:r w:rsidRPr="009F3C8A">
        <w:rPr>
          <w:rFonts w:ascii="Times New Roman" w:hAnsi="Times New Roman" w:cs="Times New Roman"/>
          <w:sz w:val="28"/>
          <w:szCs w:val="28"/>
        </w:rPr>
        <w:t>3 курс, группа 3524Б6ЭКэп1, Сомов Н.В.</w:t>
      </w:r>
    </w:p>
    <w:p w:rsidR="0062672F" w:rsidRPr="0062672F" w:rsidRDefault="0062672F" w:rsidP="0062672F">
      <w:pPr>
        <w:ind w:left="5103" w:firstLine="5"/>
        <w:rPr>
          <w:rFonts w:ascii="Times New Roman" w:hAnsi="Times New Roman" w:cs="Times New Roman"/>
          <w:sz w:val="28"/>
          <w:szCs w:val="28"/>
        </w:rPr>
      </w:pPr>
      <w:r w:rsidRPr="0062672F">
        <w:rPr>
          <w:rFonts w:ascii="Times New Roman" w:hAnsi="Times New Roman" w:cs="Times New Roman"/>
          <w:sz w:val="28"/>
          <w:szCs w:val="28"/>
        </w:rPr>
        <w:t>Проверил: к.э.н. Рокунова О.В.</w:t>
      </w:r>
    </w:p>
    <w:p w:rsidR="00F178DA" w:rsidRDefault="00F178DA" w:rsidP="00847214">
      <w:pPr>
        <w:ind w:firstLine="567"/>
        <w:rPr>
          <w:rFonts w:ascii="Times New Roman" w:hAnsi="Times New Roman" w:cs="Times New Roman"/>
          <w:b/>
          <w:sz w:val="28"/>
          <w:szCs w:val="28"/>
        </w:rPr>
      </w:pPr>
    </w:p>
    <w:p w:rsidR="00F178DA" w:rsidRDefault="00F178DA" w:rsidP="00847214">
      <w:pPr>
        <w:ind w:firstLine="567"/>
        <w:rPr>
          <w:rFonts w:ascii="Times New Roman" w:hAnsi="Times New Roman" w:cs="Times New Roman"/>
          <w:b/>
          <w:sz w:val="28"/>
          <w:szCs w:val="28"/>
        </w:rPr>
      </w:pPr>
    </w:p>
    <w:p w:rsidR="009F3C8A" w:rsidRDefault="00F04239" w:rsidP="00F04239">
      <w:pPr>
        <w:autoSpaceDE w:val="0"/>
        <w:autoSpaceDN w:val="0"/>
        <w:spacing w:after="120"/>
        <w:jc w:val="center"/>
        <w:rPr>
          <w:rFonts w:ascii="Times New Roman" w:hAnsi="Times New Roman"/>
          <w:sz w:val="28"/>
          <w:szCs w:val="28"/>
        </w:rPr>
      </w:pPr>
      <w:r w:rsidRPr="00E72861">
        <w:rPr>
          <w:rFonts w:ascii="Times New Roman" w:hAnsi="Times New Roman"/>
          <w:sz w:val="28"/>
          <w:szCs w:val="28"/>
        </w:rPr>
        <w:t>Нижний Новгород</w:t>
      </w:r>
      <w:r>
        <w:rPr>
          <w:rFonts w:ascii="Times New Roman" w:hAnsi="Times New Roman"/>
          <w:sz w:val="28"/>
          <w:szCs w:val="28"/>
        </w:rPr>
        <w:t>,</w:t>
      </w:r>
    </w:p>
    <w:p w:rsidR="00A31DC6" w:rsidRDefault="00F04239" w:rsidP="00F04239">
      <w:pPr>
        <w:autoSpaceDE w:val="0"/>
        <w:autoSpaceDN w:val="0"/>
        <w:spacing w:after="120"/>
        <w:jc w:val="center"/>
        <w:rPr>
          <w:rFonts w:ascii="Times New Roman" w:hAnsi="Times New Roman"/>
          <w:sz w:val="28"/>
          <w:szCs w:val="28"/>
        </w:rPr>
      </w:pPr>
      <w:r>
        <w:rPr>
          <w:rFonts w:ascii="Times New Roman" w:hAnsi="Times New Roman"/>
          <w:sz w:val="28"/>
          <w:szCs w:val="28"/>
        </w:rPr>
        <w:t xml:space="preserve"> 2026</w:t>
      </w:r>
    </w:p>
    <w:p w:rsidR="00A31DC6" w:rsidRDefault="00A31DC6">
      <w:pPr>
        <w:rPr>
          <w:rFonts w:ascii="Times New Roman" w:hAnsi="Times New Roman"/>
          <w:sz w:val="28"/>
          <w:szCs w:val="28"/>
        </w:rPr>
      </w:pPr>
      <w:r>
        <w:rPr>
          <w:rFonts w:ascii="Times New Roman" w:hAnsi="Times New Roman"/>
          <w:sz w:val="28"/>
          <w:szCs w:val="28"/>
        </w:rPr>
        <w:br w:type="page"/>
      </w:r>
    </w:p>
    <w:p w:rsidR="004C68A9" w:rsidRDefault="00A31DC6" w:rsidP="004C68A9">
      <w:pPr>
        <w:autoSpaceDE w:val="0"/>
        <w:autoSpaceDN w:val="0"/>
        <w:jc w:val="center"/>
        <w:rPr>
          <w:rFonts w:ascii="Times New Roman" w:hAnsi="Times New Roman"/>
          <w:b/>
          <w:bCs/>
          <w:sz w:val="36"/>
          <w:szCs w:val="36"/>
        </w:rPr>
      </w:pPr>
      <w:r>
        <w:rPr>
          <w:rFonts w:ascii="Times New Roman" w:hAnsi="Times New Roman"/>
          <w:b/>
          <w:bCs/>
          <w:sz w:val="36"/>
          <w:szCs w:val="36"/>
        </w:rPr>
        <w:t>Работа в справочной правовой системе КонсультантПлюс (задание 3.2)</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Задание выполнено в двух версиях системы КонсультантПлюс. Поиск документов, подборки и фрагменты текстов взяты из некоммерческой интернет-версии (https://www.consultant.ru/cons/cgi/online.cgi) — в ней доступен полный объём информационных банков. Закладки, папки и постановка документов на контроль выполнены в авторизованной системе «КонсультантПлюс: Студент» (https://student2.consultant.ru), работающей под учётной записью пользователя: в некоммерческой версии раздела «Избранное» нет.</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Отдельные документы (письма ведомств, аналитические материалы) в некоммерческой версии открываются по расписанию — по рабочим дням с 20:00 до 24:00 по московскому времени, в выходные и праздничные дни в любое время. Это указано в самой системе и видно на соответствующих скриншотах.</w:t>
      </w:r>
    </w:p>
    <w:p w:rsidR="00013A49" w:rsidRPr="00013A49" w:rsidRDefault="00C75671" w:rsidP="0011101F">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1. Письмо ФНС России о порядке заполнения налоговой декларации по НДС</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Документ найден Быстрым поиском по реквизитам: номер письма и его название. Поисковый запрос — «Письмо ФНС России ГД-4-3/6915@ о порядке заполнения налоговой декларации по налогу на добавленную стоимость».</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1" name="Picture 1"/>
            <wp:cNvGraphicFramePr>
              <a:graphicFrameLocks noChangeAspect="1"/>
            </wp:cNvGraphicFramePr>
            <a:graphic>
              <a:graphicData uri="http://schemas.openxmlformats.org/drawingml/2006/picture">
                <pic:pic>
                  <pic:nvPicPr>
                    <pic:cNvPr id="0" name="32_1_list.png"/>
                    <pic:cNvPicPr/>
                  </pic:nvPicPr>
                  <pic:blipFill>
                    <a:blip r:embed="rId18"/>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1 — Результат поиска письма ФНС России N ГД-4-3/6915@</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Найденный документ: &lt;Письмо&gt; ФНС России от 22.04.2015 N ГД-4-3/6915@ «О порядке заполнения налоговой декларации по налогу на добавленную стоимость». Информационный банк «Российское законодательство (Версия Проф)».</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2" name="Picture 2"/>
            <wp:cNvGraphicFramePr>
              <a:graphicFrameLocks noChangeAspect="1"/>
            </wp:cNvGraphicFramePr>
            <a:graphic>
              <a:graphicData uri="http://schemas.openxmlformats.org/drawingml/2006/picture">
                <pic:pic>
                  <pic:nvPicPr>
                    <pic:cNvPr id="0" name="32_1_text.png"/>
                    <pic:cNvPicPr/>
                  </pic:nvPicPr>
                  <pic:blipFill>
                    <a:blip r:embed="rId19"/>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2 — Текст письма ФНС России от 22.04.2015 N ГД-4-3/6915@</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Письмо разъясняет, каким кодом отражать в разделе 7 декларации операции по реализации имущества должников-банкротов, не признаваемые объектом налогообложения НДС с 01.01.2015 (подпункт 15 пункта 2 статьи 146 НК РФ введён Федеральным законом от 24.11.2014 N 366-ФЗ):</w:t>
      </w:r>
    </w:p>
    <w:p w:rsidR="004C68A9" w:rsidRPr="00F04239" w:rsidRDefault="00363F87" w:rsidP="004C68A9">
      <w:pPr>
        <w:autoSpaceDE w:val="0"/>
        <w:autoSpaceDN w:val="0"/>
        <w:ind w:firstLine="0" w:left="709"/>
        <w:jc w:val="both"/>
        <w:rPr>
          <w:rFonts w:ascii="Times New Roman" w:hAnsi="Times New Roman"/>
          <w:b/>
          <w:bCs/>
          <w:sz w:val="36"/>
          <w:szCs w:val="36"/>
        </w:rPr>
      </w:pPr>
      <w:r>
        <w:rPr>
          <w:rFonts w:ascii="Times New Roman" w:hAnsi="Times New Roman" w:cs="Times New Roman"/>
          <w:i/>
          <w:sz w:val="28"/>
          <w:szCs w:val="28"/>
        </w:rPr>
        <w:t>«…до внесения соответствующих изменений в приложение N 1 к порядку заполнения декларации налогоплательщики вправе в разделе 7 декларации отразить операции, предусмотренные в подпункте 15 пункта 2 статьи 146 Кодекса, под кодом 1010823. Одновременно обращаем внимание, что не является нарушением использование налогоплательщиками кода 1010800 до момента официального установления кода 1010823 для указанных операций.»</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Система отмечает, что документ фактически утратил силу в связи с изданием Приказа ФНС России от 20.12.2016 N ММВ-7-3/696@, которым нужные изменения были внесены в Приказ ФНС России от 29.10.2014 N ММВ-7-3/558@.</w:t>
      </w:r>
    </w:p>
    <w:p w:rsidR="00013A49" w:rsidRPr="00013A49" w:rsidRDefault="00C75671" w:rsidP="0011101F">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2. Подборка документов Минфина России 2015–2016 гг. по бухгалтерской отчётности</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Подборка сформирована через Карточку поиска раздела «Законодательство» по трём полям. В поле «Принявший орган» из словаря выбран «Минфин России».</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3" name="Picture 3"/>
            <wp:cNvGraphicFramePr>
              <a:graphicFrameLocks noChangeAspect="1"/>
            </wp:cNvGraphicFramePr>
            <a:graphic>
              <a:graphicData uri="http://schemas.openxmlformats.org/drawingml/2006/picture">
                <pic:pic>
                  <pic:nvPicPr>
                    <pic:cNvPr id="0" name="32_p2_organ.png"/>
                    <pic:cNvPicPr/>
                  </pic:nvPicPr>
                  <pic:blipFill>
                    <a:blip r:embed="rId20"/>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3 — Поле «Принявший орган»: выбран Минфин России</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В поле «Дата» задан диапазон дат с 01.01.2015 по 31.12.2016.</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4" name="Picture 4"/>
            <wp:cNvGraphicFramePr>
              <a:graphicFrameLocks noChangeAspect="1"/>
            </wp:cNvGraphicFramePr>
            <a:graphic>
              <a:graphicData uri="http://schemas.openxmlformats.org/drawingml/2006/picture">
                <pic:pic>
                  <pic:nvPicPr>
                    <pic:cNvPr id="0" name="32_p2_date.png"/>
                    <pic:cNvPicPr/>
                  </pic:nvPicPr>
                  <pic:blipFill>
                    <a:blip r:embed="rId21"/>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4 — Поле «Дата»: диапазон с 01.01.2015 по 31.12.2016</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В поле «Текст документа» введён запрос БУХГАЛТЕРСКАЯ ОТЧЕТНОСТЬ. Заполненная карточка поиска выглядит так:</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5" name="Picture 5"/>
            <wp:cNvGraphicFramePr>
              <a:graphicFrameLocks noChangeAspect="1"/>
            </wp:cNvGraphicFramePr>
            <a:graphic>
              <a:graphicData uri="http://schemas.openxmlformats.org/drawingml/2006/picture">
                <pic:pic>
                  <pic:nvPicPr>
                    <pic:cNvPr id="0" name="32_p2_card.png"/>
                    <pic:cNvPicPr/>
                  </pic:nvPicPr>
                  <pic:blipFill>
                    <a:blip r:embed="rId22"/>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5 — Заполненная карточка поиска по трём полям</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По заданным условиям найдено 168 документов в информационном банке «Российское законодательство (Версия Проф)», а также 228 разъясняющих писем органов власти, 110 проектов правовых актов и другие банки. Первым в списке идёт Приказ Минфина России от 31.12.2016 N 260н «Об утверждении федерального стандарта бухгалтерского учёта для организаций государственного сектора „Представление бухгалтерской (финансовой) отчётности“».</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6" name="Picture 6"/>
            <wp:cNvGraphicFramePr>
              <a:graphicFrameLocks noChangeAspect="1"/>
            </wp:cNvGraphicFramePr>
            <a:graphic>
              <a:graphicData uri="http://schemas.openxmlformats.org/drawingml/2006/picture">
                <pic:pic>
                  <pic:nvPicPr>
                    <pic:cNvPr id="0" name="32_p2_list.png"/>
                    <pic:cNvPicPr/>
                  </pic:nvPicPr>
                  <pic:blipFill>
                    <a:blip r:embed="rId23"/>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6 — Список документов Минфина России за 2015–2016 гг. (168 документов)</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Список названий документов выведен на печать кнопкой с изображением принтера на панели списка и сохранён в файл. Команда «Сохранить в файл» вызывается из меню «…» и предлагает форматы DOCX, RTF, PDF, HTML и другие.</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7" name="Picture 7"/>
            <wp:cNvGraphicFramePr>
              <a:graphicFrameLocks noChangeAspect="1"/>
            </wp:cNvGraphicFramePr>
            <a:graphic>
              <a:graphicData uri="http://schemas.openxmlformats.org/drawingml/2006/picture">
                <pic:pic>
                  <pic:nvPicPr>
                    <pic:cNvPr id="0" name="32_p2_savemenu.png"/>
                    <pic:cNvPicPr/>
                  </pic:nvPicPr>
                  <pic:blipFill>
                    <a:blip r:embed="rId24"/>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7 — Меню сохранения списка в файл</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Та же подборка построена в авторизованной системе «КонсультантПлюс: Студент». Карточка поиска там заполняется теми же тремя полями, но учебный комплект содержит около 110 тысяч документов вместо полного банка, поэтому по тем же условиям найдено 96 документов.</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8" name="Picture 8"/>
            <wp:cNvGraphicFramePr>
              <a:graphicFrameLocks noChangeAspect="1"/>
            </wp:cNvGraphicFramePr>
            <a:graphic>
              <a:graphicData uri="http://schemas.openxmlformats.org/drawingml/2006/picture">
                <pic:pic>
                  <pic:nvPicPr>
                    <pic:cNvPr id="0" name="32_p2_organ_stud.png"/>
                    <pic:cNvPicPr/>
                  </pic:nvPicPr>
                  <pic:blipFill>
                    <a:blip r:embed="rId25"/>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8 — Поле «Принявший орган» в системе «КонсультантПлюс: Студент»</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9" name="Picture 9"/>
            <wp:cNvGraphicFramePr>
              <a:graphicFrameLocks noChangeAspect="1"/>
            </wp:cNvGraphicFramePr>
            <a:graphic>
              <a:graphicData uri="http://schemas.openxmlformats.org/drawingml/2006/picture">
                <pic:pic>
                  <pic:nvPicPr>
                    <pic:cNvPr id="0" name="32_p2_date_stud.png"/>
                    <pic:cNvPicPr/>
                  </pic:nvPicPr>
                  <pic:blipFill>
                    <a:blip r:embed="rId26"/>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9 — Поле «Дата»: диапазон с 01.01.2015 по 31.12.2016</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10" name="Picture 10"/>
            <wp:cNvGraphicFramePr>
              <a:graphicFrameLocks noChangeAspect="1"/>
            </wp:cNvGraphicFramePr>
            <a:graphic>
              <a:graphicData uri="http://schemas.openxmlformats.org/drawingml/2006/picture">
                <pic:pic>
                  <pic:nvPicPr>
                    <pic:cNvPr id="0" name="32_p2_card_stud.png"/>
                    <pic:cNvPicPr/>
                  </pic:nvPicPr>
                  <pic:blipFill>
                    <a:blip r:embed="rId27"/>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10 — Карточка поиска, заполненная тремя полями (найдено 96 документов)</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11" name="Picture 11"/>
            <wp:cNvGraphicFramePr>
              <a:graphicFrameLocks noChangeAspect="1"/>
            </wp:cNvGraphicFramePr>
            <a:graphic>
              <a:graphicData uri="http://schemas.openxmlformats.org/drawingml/2006/picture">
                <pic:pic>
                  <pic:nvPicPr>
                    <pic:cNvPr id="0" name="32_p2_list_stud.png"/>
                    <pic:cNvPicPr/>
                  </pic:nvPicPr>
                  <pic:blipFill>
                    <a:blip r:embed="rId28"/>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11 — Список документов Минфина России за 2015–2016 гг.</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Полный перечень названий документов приведён в приложении в конце отчёта.</w:t>
      </w:r>
    </w:p>
    <w:p w:rsidR="00013A49" w:rsidRPr="00013A49" w:rsidRDefault="00C75671" w:rsidP="0011101F">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3. Схемы учёта удержания страховой премии по договору ДМС</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Поиск выполнен по формулировке вопроса: «корреспонденция счетов удержание из заработной платы работника страховой премии по договору добровольного медицинского страхования». Схемы учёта находятся в информационном банке «Корреспонденция счетов».</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12" name="Picture 12"/>
            <wp:cNvGraphicFramePr>
              <a:graphicFrameLocks noChangeAspect="1"/>
            </wp:cNvGraphicFramePr>
            <a:graphic>
              <a:graphicData uri="http://schemas.openxmlformats.org/drawingml/2006/picture">
                <pic:pic>
                  <pic:nvPicPr>
                    <pic:cNvPr id="0" name="32_3_list.png"/>
                    <pic:cNvPicPr/>
                  </pic:nvPicPr>
                  <pic:blipFill>
                    <a:blip r:embed="rId29"/>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12 — Результат поиска схем учёта по договору ДМС</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Найденный документ: «Корреспонденция счетов: Как отразить в учёте организации удержание из заработной платы работников страховой премии по договору добровольного медицинского страхования?..» (Консультация эксперта, 2012); всего в выдаче 9 документов банка «Корреспонденция счетов». Текст схем учёта относится к аналитическим материалам: в некоммерческой интернет-версии он не открывается («Документ недоступен в некоммерческой версии КонсультантПлюс»), а в учебном комплекте «КонсультантПлюс: Студент» банк «Корреспонденция счетов» отсутствует. Поэтому по данному пункту приводятся реквизиты документа и его место в списке.</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13" name="Picture 13"/>
            <wp:cNvGraphicFramePr>
              <a:graphicFrameLocks noChangeAspect="1"/>
            </wp:cNvGraphicFramePr>
            <a:graphic>
              <a:graphicData uri="http://schemas.openxmlformats.org/drawingml/2006/picture">
                <pic:pic>
                  <pic:nvPicPr>
                    <pic:cNvPr id="0" name="32_3_doc.png"/>
                    <pic:cNvPicPr/>
                  </pic:nvPicPr>
                  <pic:blipFill>
                    <a:blip r:embed="rId30"/>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13 — Карточка схемы учёта удержания страховой премии по ДМС</w:t>
      </w:r>
    </w:p>
    <w:p w:rsidR="00013A49" w:rsidRPr="00013A49" w:rsidRDefault="00C75671" w:rsidP="0011101F">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4. Правила торговли дистанционным способом и продажа БАД</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Правила найдены Быстрым поиском по запросу «Правила продажи товаров при дистанционном способе продажи товара». Действующие правила утверждены Постановлением Правительства РФ от 30.05.2026 N 657 (с изм. от 29.08.2026) «Об утверждении Правил продажи товаров по договору розничной купли-продажи…»; они применяются с 1 сентября 2026 года вместо Постановления Правительства РФ от 31.12.2020 N 2463, действовавшего ранее.</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14" name="Picture 14"/>
            <wp:cNvGraphicFramePr>
              <a:graphicFrameLocks noChangeAspect="1"/>
            </wp:cNvGraphicFramePr>
            <a:graphic>
              <a:graphicData uri="http://schemas.openxmlformats.org/drawingml/2006/picture">
                <pic:pic>
                  <pic:nvPicPr>
                    <pic:cNvPr id="0" name="32_p4_657_list.png"/>
                    <pic:cNvPicPr/>
                  </pic:nvPicPr>
                  <pic:blipFill>
                    <a:blip r:embed="rId31"/>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14 — Результат поиска правил продажи товаров</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В Правилах дистанционной торговле посвящён отдельный раздел II «Правила продажи товаров дистанционным способом по договору розничной купли-продажи» (пункты 15–30):</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15" name="Picture 15"/>
            <wp:cNvGraphicFramePr>
              <a:graphicFrameLocks noChangeAspect="1"/>
            </wp:cNvGraphicFramePr>
            <a:graphic>
              <a:graphicData uri="http://schemas.openxmlformats.org/drawingml/2006/picture">
                <pic:pic>
                  <pic:nvPicPr>
                    <pic:cNvPr id="0" name="32_p4_657_doc.png"/>
                    <pic:cNvPicPr/>
                  </pic:nvPicPr>
                  <pic:blipFill>
                    <a:blip r:embed="rId32"/>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15 — Постановление Правительства РФ от 30.05.2026 N 657</w:t>
      </w:r>
    </w:p>
    <w:p w:rsidR="004C68A9" w:rsidRPr="00F04239" w:rsidRDefault="00363F87" w:rsidP="004C68A9">
      <w:pPr>
        <w:autoSpaceDE w:val="0"/>
        <w:autoSpaceDN w:val="0"/>
        <w:ind w:firstLine="0" w:left="709"/>
        <w:jc w:val="both"/>
        <w:rPr>
          <w:rFonts w:ascii="Times New Roman" w:hAnsi="Times New Roman"/>
          <w:b/>
          <w:bCs/>
          <w:sz w:val="36"/>
          <w:szCs w:val="36"/>
        </w:rPr>
      </w:pPr>
      <w:r>
        <w:rPr>
          <w:rFonts w:ascii="Times New Roman" w:hAnsi="Times New Roman" w:cs="Times New Roman"/>
          <w:i/>
          <w:sz w:val="28"/>
          <w:szCs w:val="28"/>
        </w:rPr>
        <w:t>«15. При продаже товара дистанционным способом продавец обязан заключить договор розничной купли-продажи с любым лицом, выразившим намерение приобрести товар на условиях оферты.»</w:t>
      </w:r>
    </w:p>
    <w:p w:rsidR="004C68A9" w:rsidRPr="00F04239" w:rsidRDefault="00363F87" w:rsidP="004C68A9">
      <w:pPr>
        <w:autoSpaceDE w:val="0"/>
        <w:autoSpaceDN w:val="0"/>
        <w:ind w:firstLine="0" w:left="709"/>
        <w:jc w:val="both"/>
        <w:rPr>
          <w:rFonts w:ascii="Times New Roman" w:hAnsi="Times New Roman"/>
          <w:b/>
          <w:bCs/>
          <w:sz w:val="36"/>
          <w:szCs w:val="36"/>
        </w:rPr>
      </w:pPr>
      <w:r>
        <w:rPr>
          <w:rFonts w:ascii="Times New Roman" w:hAnsi="Times New Roman" w:cs="Times New Roman"/>
          <w:i/>
          <w:sz w:val="28"/>
          <w:szCs w:val="28"/>
        </w:rPr>
        <w:t>«21. При продаже товара дистанционным способом продавец (владелец агрегатора) предоставляет потребителю полную и достоверную информацию, характеризующую предлагаемый товар, посредством её размещения на сайте и (или) странице сайта в сети „Интернет“…»</w:t>
      </w:r>
    </w:p>
    <w:p w:rsidR="004C68A9" w:rsidRPr="00F04239" w:rsidRDefault="00363F87" w:rsidP="004C68A9">
      <w:pPr>
        <w:autoSpaceDE w:val="0"/>
        <w:autoSpaceDN w:val="0"/>
        <w:ind w:firstLine="0" w:left="709"/>
        <w:jc w:val="both"/>
        <w:rPr>
          <w:rFonts w:ascii="Times New Roman" w:hAnsi="Times New Roman"/>
          <w:b/>
          <w:bCs/>
          <w:sz w:val="36"/>
          <w:szCs w:val="36"/>
        </w:rPr>
      </w:pPr>
      <w:r>
        <w:rPr>
          <w:rFonts w:ascii="Times New Roman" w:hAnsi="Times New Roman" w:cs="Times New Roman"/>
          <w:i/>
          <w:sz w:val="28"/>
          <w:szCs w:val="28"/>
        </w:rPr>
        <w:t>«29. Продажа лекарственных препаратов для медицинского применения дистанционным способом осуществляется в соответствии с Правилами выдачи разрешения на осуществление розничной торговли лекарственными препаратами для медицинского применения дистанционным способом…»</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Вопрос о БАД проверен отдельно. Быстрый поиск по формулировке «можно ли продавать дистанционным способом биологически активные добавки» первой строкой выдаёт консультацию эксперта «Вопрос: Можно ли продавать биологически активные добавки дистанционным способом? (Консультация эксперта, 2026)»; её текст в некоммерческой версии не открывается.</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16" name="Picture 16"/>
            <wp:cNvGraphicFramePr>
              <a:graphicFrameLocks noChangeAspect="1"/>
            </wp:cNvGraphicFramePr>
            <a:graphic>
              <a:graphicData uri="http://schemas.openxmlformats.org/drawingml/2006/picture">
                <pic:pic>
                  <pic:nvPicPr>
                    <pic:cNvPr id="0" name="32_p4_bad_list.png"/>
                    <pic:cNvPicPr/>
                  </pic:nvPicPr>
                  <pic:blipFill>
                    <a:blip r:embed="rId33"/>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16 — Результат поиска по вопросу о дистанционной продаже БАД</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Поэтому ответ получен из нормативных актов. Поиск в Карточке поиска раздела «Законодательство» по полю «Текст документа» с запросом «БИОЛОГИЧЕСКИ АКТИВНЫЕ ДОБАВКИ И ДИСТАНЦИОННЫЙ СПОСОБ ПРОДАЖИ» даёт 20 документов, среди которых Федеральный закон от 02.01.2000 N 29-ФЗ «О качестве и безопасности пищевых продуктов».</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17" name="Picture 17"/>
            <wp:cNvGraphicFramePr>
              <a:graphicFrameLocks noChangeAspect="1"/>
            </wp:cNvGraphicFramePr>
            <a:graphic>
              <a:graphicData uri="http://schemas.openxmlformats.org/drawingml/2006/picture">
                <pic:pic>
                  <pic:nvPicPr>
                    <pic:cNvPr id="0" name="32_p4_law_list.png"/>
                    <pic:cNvPicPr/>
                  </pic:nvPicPr>
                  <pic:blipFill>
                    <a:blip r:embed="rId34"/>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17 — Поиск нормативных документов о дистанционной продаже БАД</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В статье 3 этого закона установлено ограничение (пункт 2.1 введён Федеральным законом от 07.06.2025 N 150-ФЗ):</w:t>
      </w:r>
    </w:p>
    <w:p w:rsidR="004C68A9" w:rsidRPr="00F04239" w:rsidRDefault="00363F87" w:rsidP="004C68A9">
      <w:pPr>
        <w:autoSpaceDE w:val="0"/>
        <w:autoSpaceDN w:val="0"/>
        <w:ind w:firstLine="0" w:left="709"/>
        <w:jc w:val="both"/>
        <w:rPr>
          <w:rFonts w:ascii="Times New Roman" w:hAnsi="Times New Roman"/>
          <w:b/>
          <w:bCs/>
          <w:sz w:val="36"/>
          <w:szCs w:val="36"/>
        </w:rPr>
      </w:pPr>
      <w:r>
        <w:rPr>
          <w:rFonts w:ascii="Times New Roman" w:hAnsi="Times New Roman" w:cs="Times New Roman"/>
          <w:i/>
          <w:sz w:val="28"/>
          <w:szCs w:val="28"/>
        </w:rPr>
        <w:t>«2.1. Запрещается распространение информации, содержащей предложение о розничной торговле биологически активными добавками, в том числе дистанционным способом, розничная торговля которыми запрещена в соответствии с настоящим Федеральным законом.»</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18" name="Picture 18"/>
            <wp:cNvGraphicFramePr>
              <a:graphicFrameLocks noChangeAspect="1"/>
            </wp:cNvGraphicFramePr>
            <a:graphic>
              <a:graphicData uri="http://schemas.openxmlformats.org/drawingml/2006/picture">
                <pic:pic>
                  <pic:nvPicPr>
                    <pic:cNvPr id="0" name="32_p4_fz29.png"/>
                    <pic:cNvPicPr/>
                  </pic:nvPicPr>
                  <pic:blipFill>
                    <a:blip r:embed="rId35"/>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18 — Федеральный закон от 02.01.2000 N 29-ФЗ, статья 3</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19" name="Picture 19"/>
            <wp:cNvGraphicFramePr>
              <a:graphicFrameLocks noChangeAspect="1"/>
            </wp:cNvGraphicFramePr>
            <a:graphic>
              <a:graphicData uri="http://schemas.openxmlformats.org/drawingml/2006/picture">
                <pic:pic>
                  <pic:nvPicPr>
                    <pic:cNvPr id="0" name="32_p4_fz29_stud.png"/>
                    <pic:cNvPicPr/>
                  </pic:nvPicPr>
                  <pic:blipFill>
                    <a:blip r:embed="rId36"/>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19 — Тот же закон в системе «КонсультантПлюс: Студент» перед добавлением в папку</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Вывод: прямого запрета на дистанционную продажу БАД Правила продажи товаров не содержат — в отличие от лекарственных препаратов, для которых установлен разрешительный порядок. Продавать БАД дистанционным способом можно, если сама биологически активная добавка находится в законном обороте: прошла государственную регистрацию, имеет маркировку и товаросопроводительные документы. Если розничная торговля конкретной БАД запрещена по статье 3 Федерального закона N 29-ФЗ, то запрещено и распространение информации о её продаже, в том числе дистанционной.</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Найденные документы сохранены в папку «Дистанционная торговля» в системе «КонсультантПлюс: Студент».</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20" name="Picture 20"/>
            <wp:cNvGraphicFramePr>
              <a:graphicFrameLocks noChangeAspect="1"/>
            </wp:cNvGraphicFramePr>
            <a:graphic>
              <a:graphicData uri="http://schemas.openxmlformats.org/drawingml/2006/picture">
                <pic:pic>
                  <pic:nvPicPr>
                    <pic:cNvPr id="0" name="32_p4_folder.png"/>
                    <pic:cNvPicPr/>
                  </pic:nvPicPr>
                  <pic:blipFill>
                    <a:blip r:embed="rId37"/>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20 — Папка «Дистанционная торговля» с найденными документами</w:t>
      </w:r>
    </w:p>
    <w:p w:rsidR="00013A49" w:rsidRPr="00013A49" w:rsidRDefault="00C75671" w:rsidP="0011101F">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5. Документ о взаимодействии ФНС России и МВД России (октябрь 2010 г.)</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Поиск выполнен по запросу «Соглашение о взаимодействии между МВД России и ФНС России 2010».</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21" name="Picture 21"/>
            <wp:cNvGraphicFramePr>
              <a:graphicFrameLocks noChangeAspect="1"/>
            </wp:cNvGraphicFramePr>
            <a:graphic>
              <a:graphicData uri="http://schemas.openxmlformats.org/drawingml/2006/picture">
                <pic:pic>
                  <pic:nvPicPr>
                    <pic:cNvPr id="0" name="32_5_list.png"/>
                    <pic:cNvPicPr/>
                  </pic:nvPicPr>
                  <pic:blipFill>
                    <a:blip r:embed="rId38"/>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21 — Результат поиска документа о взаимодействии МВД и ФНС России</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Найденный документ: «Соглашение о взаимодействии между Министерством внутренних дел Российской Федерации и Федеральной налоговой службой» (утв. МВД России N 1/8656, ФНС России N ММВ-27-4/11 13.10.2010) (ред. от 26.10.2017). Дата принятия — 13 октября 2010 года, что соответствует условию задания.</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22" name="Picture 22"/>
            <wp:cNvGraphicFramePr>
              <a:graphicFrameLocks noChangeAspect="1"/>
            </wp:cNvGraphicFramePr>
            <a:graphic>
              <a:graphicData uri="http://schemas.openxmlformats.org/drawingml/2006/picture">
                <pic:pic>
                  <pic:nvPicPr>
                    <pic:cNvPr id="0" name="32_5_text.png"/>
                    <pic:cNvPicPr/>
                  </pic:nvPicPr>
                  <pic:blipFill>
                    <a:blip r:embed="rId39"/>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22 — Текст Соглашения о взаимодействии МВД России и ФНС России</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Соглашение подписано Министром внутренних дел Р.Г. Нургалиевым и руководителем Федеральной налоговой службы М.В. Мишустиным. Предмет Соглашения определён статьёй 1:</w:t>
      </w:r>
    </w:p>
    <w:p w:rsidR="004C68A9" w:rsidRPr="00F04239" w:rsidRDefault="00363F87" w:rsidP="004C68A9">
      <w:pPr>
        <w:autoSpaceDE w:val="0"/>
        <w:autoSpaceDN w:val="0"/>
        <w:ind w:firstLine="0" w:left="709"/>
        <w:jc w:val="both"/>
        <w:rPr>
          <w:rFonts w:ascii="Times New Roman" w:hAnsi="Times New Roman"/>
          <w:b/>
          <w:bCs/>
          <w:sz w:val="36"/>
          <w:szCs w:val="36"/>
        </w:rPr>
      </w:pPr>
      <w:r>
        <w:rPr>
          <w:rFonts w:ascii="Times New Roman" w:hAnsi="Times New Roman" w:cs="Times New Roman"/>
          <w:i/>
          <w:sz w:val="28"/>
          <w:szCs w:val="28"/>
        </w:rPr>
        <w:t>«Предметом настоящего Соглашения является организация взаимодействия органов внутренних дел и налоговых органов Российской Федерации в установленных сферах деятельности, в том числе в вопросах предупреждения и пресечения преступлений и административных правонарушений, выявления и расследования преступлений, а также в вопросах повышения налоговой дисциплины в сфере экономики и обеспечения своевременности и полноты уплаты налогов и сборов в бюджеты и государственные внебюджетные фонды.»</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Статья 2 закрепляет принципы взаимодействия:</w:t>
      </w:r>
    </w:p>
    <w:p w:rsidR="004C68A9" w:rsidRPr="00F04239" w:rsidRDefault="00363F87" w:rsidP="004C68A9">
      <w:pPr>
        <w:autoSpaceDE w:val="0"/>
        <w:autoSpaceDN w:val="0"/>
        <w:ind w:firstLine="0" w:left="709"/>
        <w:jc w:val="both"/>
        <w:rPr>
          <w:rFonts w:ascii="Times New Roman" w:hAnsi="Times New Roman"/>
          <w:b/>
          <w:bCs/>
          <w:sz w:val="36"/>
          <w:szCs w:val="36"/>
        </w:rPr>
      </w:pPr>
      <w:r>
        <w:rPr>
          <w:rFonts w:ascii="Times New Roman" w:hAnsi="Times New Roman" w:cs="Times New Roman"/>
          <w:i/>
          <w:sz w:val="28"/>
          <w:szCs w:val="28"/>
        </w:rPr>
        <w:t>«…взаимное доверие при строгом соблюдении государственной, служебной и налоговой тайн; самостоятельность в реализации собственных задач и полномочий, а также в выработке форм и методов использования собственных сил и средств; законность и профессионализм; плановость и непрерывность; обязательность и безупречность исполнения достигнутых Сторонами договоренностей.»</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Статья 3 перечисляет основные направления сотрудничества: выявление и пресечение противоправной деятельности организаций и физических лиц, уклоняющихся от налогообложения, в том числе осуществляющих незаконное предпринимательство, и выявление и пресечение нарушений законодательства о налогах и сборах.</w:t>
      </w:r>
    </w:p>
    <w:p w:rsidR="00013A49" w:rsidRPr="00013A49" w:rsidRDefault="00C75671" w:rsidP="0011101F">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6. Подборки документов по уставным капиталам АО и ООО</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В системе «КонсультантПлюс: Студент» созданы две папки: «Уставный капитал АО» и «Уставный капитал ООО». Документы для них найдены Быстрым поиском по запросам «уставный капитал акционерного общества» и «уставный капитал общества с ограниченной ответственностью» и помещены в соответствующие папки через меню «Ещё» → «Добавить в Избранное…».</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23" name="Picture 23"/>
            <wp:cNvGraphicFramePr>
              <a:graphicFrameLocks noChangeAspect="1"/>
            </wp:cNvGraphicFramePr>
            <a:graphic>
              <a:graphicData uri="http://schemas.openxmlformats.org/drawingml/2006/picture">
                <pic:pic>
                  <pic:nvPicPr>
                    <pic:cNvPr id="0" name="32_docfolders_filled.png"/>
                    <pic:cNvPicPr/>
                  </pic:nvPicPr>
                  <pic:blipFill>
                    <a:blip r:embed="rId40"/>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23 — Папки «Уставный капитал АО» и «Уставный капитал ООО» в разделе «Папки»</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24" name="Picture 24"/>
            <wp:cNvGraphicFramePr>
              <a:graphicFrameLocks noChangeAspect="1"/>
            </wp:cNvGraphicFramePr>
            <a:graphic>
              <a:graphicData uri="http://schemas.openxmlformats.org/drawingml/2006/picture">
                <pic:pic>
                  <pic:nvPicPr>
                    <pic:cNvPr id="0" name="32_p6_ao.png"/>
                    <pic:cNvPicPr/>
                  </pic:nvPicPr>
                  <pic:blipFill>
                    <a:blip r:embed="rId41"/>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24 — Содержимое папки «Уставный капитал АО»</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25" name="Picture 25"/>
            <wp:cNvGraphicFramePr>
              <a:graphicFrameLocks noChangeAspect="1"/>
            </wp:cNvGraphicFramePr>
            <a:graphic>
              <a:graphicData uri="http://schemas.openxmlformats.org/drawingml/2006/picture">
                <pic:pic>
                  <pic:nvPicPr>
                    <pic:cNvPr id="0" name="32_p6_ooo.png"/>
                    <pic:cNvPicPr/>
                  </pic:nvPicPr>
                  <pic:blipFill>
                    <a:blip r:embed="rId42"/>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25 — Содержимое папки «Уставный капитал ООО»</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Сравнение подборок показало, что одинаковые документы в них есть: в обе папки попал «Обзор судебной практики Верховного Суда Российской Федерации N 2 (2020)» (утв. Президиумом Верховного Суда РФ 22.07.2020) — он содержит разъяснения и по акционерным обществам, и по обществам с ограниченной ответственностью.</w:t>
      </w:r>
    </w:p>
    <w:p w:rsidR="00013A49" w:rsidRPr="00013A49" w:rsidRDefault="00C75671" w:rsidP="0011101F">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7. Закладка с комментарием на перечень детских товаров со ставкой НДС 10%</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Перечень детских товаров, реализация которых облагается НДС по ставке 10 процентов, установлен подпунктом 2 пункта 2 статьи 164 Налогового кодекса РФ. Статья открыта в системе «КонсультантПлюс: Студент».</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26" name="Picture 26"/>
            <wp:cNvGraphicFramePr>
              <a:graphicFrameLocks noChangeAspect="1"/>
            </wp:cNvGraphicFramePr>
            <a:graphic>
              <a:graphicData uri="http://schemas.openxmlformats.org/drawingml/2006/picture">
                <pic:pic>
                  <pic:nvPicPr>
                    <pic:cNvPr id="0" name="32_p7_doc.png"/>
                    <pic:cNvPicPr/>
                  </pic:nvPicPr>
                  <pic:blipFill>
                    <a:blip r:embed="rId43"/>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26 — Статья 164 Налогового кодекса РФ, подпункт 2 пункта 2</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На нужный фрагмент поставлена закладка: меню «Ещё» → «Добавить в Избранное…», вкладка «Закладки». Закладке задано имя и комментарий для руководителя.</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27" name="Picture 27"/>
            <wp:cNvGraphicFramePr>
              <a:graphicFrameLocks noChangeAspect="1"/>
            </wp:cNvGraphicFramePr>
            <a:graphic>
              <a:graphicData uri="http://schemas.openxmlformats.org/drawingml/2006/picture">
                <pic:pic>
                  <pic:nvPicPr>
                    <pic:cNvPr id="0" name="32_p7_dialog.png"/>
                    <pic:cNvPicPr/>
                  </pic:nvPicPr>
                  <pic:blipFill>
                    <a:blip r:embed="rId44"/>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27 — Диалог создания закладки с именем и комментарием</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Имя закладки: «Детские товары по ставке НДС 10% (портфели не входят)». Текст комментария:</w:t>
      </w:r>
    </w:p>
    <w:p w:rsidR="004C68A9" w:rsidRPr="00F04239" w:rsidRDefault="00363F87" w:rsidP="004C68A9">
      <w:pPr>
        <w:autoSpaceDE w:val="0"/>
        <w:autoSpaceDN w:val="0"/>
        <w:ind w:firstLine="0" w:left="709"/>
        <w:jc w:val="both"/>
        <w:rPr>
          <w:rFonts w:ascii="Times New Roman" w:hAnsi="Times New Roman"/>
          <w:b/>
          <w:bCs/>
          <w:sz w:val="36"/>
          <w:szCs w:val="36"/>
        </w:rPr>
      </w:pPr>
      <w:r>
        <w:rPr>
          <w:rFonts w:ascii="Times New Roman" w:hAnsi="Times New Roman" w:cs="Times New Roman"/>
          <w:i/>
          <w:sz w:val="28"/>
          <w:szCs w:val="28"/>
        </w:rPr>
        <w:t>«Перечень детских товаров со ставкой НДС 10% — пп. 2 п. 2 ст. 164 НК РФ. Обратите внимание: портфели в этот перечень не входят, их реализация облагается НДС по общей ставке.»</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28" name="Picture 28"/>
            <wp:cNvGraphicFramePr>
              <a:graphicFrameLocks noChangeAspect="1"/>
            </wp:cNvGraphicFramePr>
            <a:graphic>
              <a:graphicData uri="http://schemas.openxmlformats.org/drawingml/2006/picture">
                <pic:pic>
                  <pic:nvPicPr>
                    <pic:cNvPr id="0" name="32_p7_fav.png"/>
                    <pic:cNvPicPr/>
                  </pic:nvPicPr>
                  <pic:blipFill>
                    <a:blip r:embed="rId45"/>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28 — Созданная закладка в разделе «Избранное»</w:t>
      </w:r>
    </w:p>
    <w:p w:rsidR="00013A49" w:rsidRPr="00013A49" w:rsidRDefault="00C75671" w:rsidP="0011101F">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8. Постановка документов на контроль</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Чтобы постоянно обращаться к документам о порядке заполнения счетов-фактур и отслеживать их изменения, документы поставлены на контроль. Открыт основной документ по теме — Постановление Правительства РФ от 26.12.2011 N 1137 «О формах и правилах заполнения (ведения) документов, применяемых при расчётах по налогу на добавленную стоимость».</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29" name="Picture 29"/>
            <wp:cNvGraphicFramePr>
              <a:graphicFrameLocks noChangeAspect="1"/>
            </wp:cNvGraphicFramePr>
            <a:graphic>
              <a:graphicData uri="http://schemas.openxmlformats.org/drawingml/2006/picture">
                <pic:pic>
                  <pic:nvPicPr>
                    <pic:cNvPr id="0" name="32_p8_doc.png"/>
                    <pic:cNvPicPr/>
                  </pic:nvPicPr>
                  <pic:blipFill>
                    <a:blip r:embed="rId46"/>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29 — Постановление Правительства РФ от 26.12.2011 N 1137</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Постановка на контроль выполняется через меню «Ещё» → «Поставить на контроль».</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30" name="Picture 30"/>
            <wp:cNvGraphicFramePr>
              <a:graphicFrameLocks noChangeAspect="1"/>
            </wp:cNvGraphicFramePr>
            <a:graphic>
              <a:graphicData uri="http://schemas.openxmlformats.org/drawingml/2006/picture">
                <pic:pic>
                  <pic:nvPicPr>
                    <pic:cNvPr id="0" name="32_p8_menu.png"/>
                    <pic:cNvPicPr/>
                  </pic:nvPicPr>
                  <pic:blipFill>
                    <a:blip r:embed="rId47"/>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30 — Меню «Ещё»: команда «Поставить на контроль»</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Система подтвердила: «Документ успешно поставлен на контроль». Документ отображается в разделе «Избранное» → «Документы на контроле»; при появлении новых редакций система сообщит об изменениях.</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31" name="Picture 31"/>
            <wp:cNvGraphicFramePr>
              <a:graphicFrameLocks noChangeAspect="1"/>
            </wp:cNvGraphicFramePr>
            <a:graphic>
              <a:graphicData uri="http://schemas.openxmlformats.org/drawingml/2006/picture">
                <pic:pic>
                  <pic:nvPicPr>
                    <pic:cNvPr id="0" name="32_p8_after.png"/>
                    <pic:cNvPicPr/>
                  </pic:nvPicPr>
                  <pic:blipFill>
                    <a:blip r:embed="rId48"/>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31 — Подтверждение постановки документа на контроль</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32" name="Picture 32"/>
            <wp:cNvGraphicFramePr>
              <a:graphicFrameLocks noChangeAspect="1"/>
            </wp:cNvGraphicFramePr>
            <a:graphic>
              <a:graphicData uri="http://schemas.openxmlformats.org/drawingml/2006/picture">
                <pic:pic>
                  <pic:nvPicPr>
                    <pic:cNvPr id="0" name="32_p8_list.png"/>
                    <pic:cNvPicPr/>
                  </pic:nvPicPr>
                  <pic:blipFill>
                    <a:blip r:embed="rId49"/>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32 — Раздел «Документы на контроле»</w:t>
      </w:r>
    </w:p>
    <w:p w:rsidR="00013A49" w:rsidRPr="00013A49" w:rsidRDefault="00C75671" w:rsidP="0011101F">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Выводы</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Все восемь пунктов задания выполнены средствами системы КонсультантПлюс. Документы по пунктам 1, 3, 4 и 5 найдены Быстрым поиском по формулировке вопроса и по реквизитам; подборка по пункту 2 сформирована в Карточке поиска раздела «Законодательство» по трём полям одновременно — «Принявший орган», «Дата» и «Текст документа».</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Функции работы с Избранным — папки (пункты 4 и 6), закладка с комментарием (пункт 7) и постановка документа на контроль (пункт 8) — выполнены в авторизованной системе «КонсультантПлюс: Студент», поскольку в некоммерческой интернет-версии эти возможности не предусмотрены.</w:t>
      </w:r>
    </w:p>
    <w:p w:rsidR="00013A49" w:rsidRPr="00013A49" w:rsidRDefault="00C75671" w:rsidP="0011101F">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Приложение. Список названий документов по пункту 2</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Перечень всех 168 документов, найденных по условиям: принявший орган — Минфин России, дата — с 01.01.2015 по 31.12.2016, текст документа — БУХГАЛТЕРСКАЯ ОТЧЕТНОСТЬ (информационный банк «Российское законодательство (Версия Проф)»).</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 Приказ Минфина России от 31.12.2016 N 260н (ред. от 13.12.2019) "Об утверждении федерального стандарта бухгалтерского учета для организаций государственного сектора "Представление бухгалтерской (финансовой) отчетности" (Зарегистрировано в Минюсте России 27.04.2017 N 46519)</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2. "Общие принципы установления упрощенных способов ведения бухгалтерского учета" (одобрены Экспертной группой по вопросам ведения бухгалтерского учета и отчетности субъектами малого предпринимательства 25.11.2015, протокол N 7)</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3. Приказ Минфина России от 31.12.2016 N 256н (ред. от 13.09.2023) "Об утверждении федерального стандарта бухгалтерского учета для организаций государственного сектора "Концептуальные основы бухгалтерского учета и отчетности организаций государственного сектора" (Зарегистрировано в Минюсте России 27.04.2017 N 46517)</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4. Приказ Минфина России от 31.12.2016 N 258н (ред. от 25.12.2019) "Об утверждении федерального стандарта бухгалтерского учета для организаций государственного сектора "Аренда" (Зарегистрировано в Минюсте России 04.05.2017 N 46606) VII. Раскрытие информации в бухгалтерской (финансовой) отчетности</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5. Приказ Минфина России от 31.12.2016 N 257н (ред. от 25.12.2019) "Об утверждении федерального стандарта бухгалтерского учета для организаций государственного сектора "Основные средства" (Зарегистрировано в Минюсте России 27.04.2017 N 46518) IX. Раскрытие информации об основных средствах (результатах операций с ними) в бухгалтерской (финансовой) отчетности</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6. Приказ Минфина России от 31.12.2016 N 259н (ред. от 13.12.2019) "Об утверждении федерального стандарта бухгалтерского учета для организаций государственного сектора "Обесценение активов" (Зарегистрировано в Минюсте России 27.04.2017 N 46520) VII. Информация, раскрываемая в бухгалтерской (финансовой) отчетности в результате признания (восстановления) убытков от обесценения актива</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7. Приказ Минфина России от 05.08.2015 N 122н (ред. от 30.06.2026) "Об утверждении Порядка проведения экспертизы применимости документов, содержащих международные стандарты аудита, на территории Российской Федерации" (Зарегистрировано в Минюсте России 24.11.2015 N 39817) Порядок проведения экспертизы применимости документов, содержащих международные стандарты аудита, на территории Российской Федерации</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8. Приказ Минфина России от 01.03.2016 N 15н (ред. от 07.11.2025) "Об утверждении дополнительных форм годовой и квартальной бюджетной отчетности об исполнении федерального бюджета и Инструкции о порядке их составления и представления" (Зарегистрировано в Минюсте России 29.03.2016 N 41606) II. Порядок представления дополнительных форм бюджетной отчетности об исполнении федерального бюджета главным распорядителем, распорядителем, получателем бюджетных средств</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9. "Международный стандарт финансовой отчетности (IAS) 8 "Учетная политика, изменения в бухгалтерских оценках и ошибки" (введен в действие на территории Российской Федерации Приказом Минфина России от 28.12.2015 N 217н) (ред. от 04.10.2023) Учетная политика - конкретные принципы, основы, общепринятые условия, правила и практические подходы, применяемые организацией при подготовке и представлении финансовой отчетности. Бухгалтерские оценки - это денежные суммы в финансовой отчетности, подверженные неопределенности оценки.</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10. Приказ Минфина России от 28.12.2016 N 243н (ред. от 31.03.2023) "О составе и порядке размещения и предоставления информации на едином портале бюджетной системы Российской Федерации" (Зарегистрировано в Минюсте России 05.05.2017 N 46620) Состав информации, размещаемой на едином портале бюджетной системы Российской Федерации</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11. Приказ Минфина России от 09.12.2016 N 231н (ред. от 22.06.2020) "Об утверждении Инструкции о порядке учета и хранения драгоценных металлов, драгоценных камней, продукции из них и ведения отчетности при их производстве, использовании и обращении" (Зарегистрировано в Минюсте России 09.01.2017 N 45111) 49. Организации обязаны хранить первичные учетные документы, регистры бухгалтерского учета и бухгалтерскую отчетность в течение сроков, устанавливаемых в соответствии с требованиями Федерального закона "О бухгалтерском учете".</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12. Приказ Минфина России от 30.03.2015 N 52н (ред. от 15.06.2020) "Об утверждении форм первичных учетных документов и регистров бухгалтерского учета, применяемых органами государственной власти (государственными органами), органами местного самоуправления, органами управления государственными внебюджетными фондами, государственными (муниципальными) учреждениями, и Методических указаний по их применению" (Зарегистрировано в Минюсте России 02.06.2015 N 37519) Журнал операций по исправлению ошибок прошлых лет</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13. Приказ Минфина России от 16.05.2016 N 62н (ред. от 18.02.2020) "Об утверждении Требований к оформлению проектов стандартов бухгалтерского учета" (Зарегистрировано в Минюсте России 29.06.2016 N 42680) Требования к оформлению проектов стандартов бухгалтерского учета</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14. "Словарь терминов" (в контексте документов, содержащих международные стандарты аудита) (по состоянию на 18.03.2019)</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15. "Вопросы субъектов предпринимательской деятельности по применению новых типов контрольно-кассовой техники" (Приложение N 2 к Протоколу совещания по вопросу о переходе на применение новых типов контрольно-кассовой техники от 24.11.2016 N 10) Могут быть использованы КСКПЭП, выданные для представления налоговой и бухгалтерской отчетности по телекоммуникационным каналам связи.</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16. "Обзор правоприменительной практики за I квартал 2016 года по спорам о признании недействительными нормативных правовых актов, ненормативных правовых актов, незаконными решений и действий (бездействия) Минфина России (на основании вступивших в законную силу судебных актов)" Обязательное проведение инвентаризации имущества и обязательств в целях обеспечения достоверности данных бухгалтерского учета и бухгалтерской отчетности закреплено частью 3 статьи 11 Федерального закона от 6 декабря 2011 года N 402-ФЗ "О бухгалтерском учете", пунктом 21 Методических указаний по бухгалтерскому учету материально-производственных запасов, утвержденных...</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17. &lt;Письмо&gt; Минфина России N 02-07-07/73609, Казначейства России N 07-04-05/02-848 от 10.12.2015 "О направлении Методических рекомендаций по проведению главными распорядителями средств федерального бюджета инвентаризации дебиторской задолженности по расходам федерального бюджета, в том числе образовавшейся в связи с авансированием договоров (государственных контрактов), и по представлению информации о результатах указанной инвентаризации, с указанием причин образования дебиторской задолженности и мер по ее сокращению" 1. Общие положения</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18. "Концепция качества аудита: ключевые элементы, формирующие среду для обеспечения качества аудита" 3.2.2 Годовые и прочие отчеты</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19. "Международный стандарт финансовой отчетности (IFRS) 1 "Первое применение Международных стандартов финансовой отчетности" (введен в действие на территории Российской Федерации Приказом Минфина России от 28.12.2015 N 217н) (ред. от 14.01.2026) Ранее применявшиеся ОПБУ (общепринятые принципы бухгалтерского учета) ... Принципы и правила бухгалтерского учета и подготовки отчетности, применявшиеся организацией, впервые применяющей МСФО, непосредственно перед переходом на МСФО.</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20. "Международный стандарт финансовой отчетности (IFRS) 14 "Счета отложенных тарифных разниц" (введен в действие на территории Российской Федерации Приказом Минфина России от 27.06.2016 N 98н) (ред. от 30.10.2018) Ранее применявшиеся ОПБУ (общепринятые принципы бухгалтерского учета) ... Принципы и правила бухгалтерского учета и подготовки отчетности, применявшиеся организацией, впервые применяющей МСФО, непосредственно перед переходом на МСФО.</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21. Информация Минфина России от 29.06.2016 N ПЗ-3/2016 "Об упрощенной системе бухгалтерского учета и бухгалтерской отчетности"</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22. &lt;Информация&gt; Минфина России "Об особенностях формирования бухгалтерской (финансовой) отчетности некоммерческих организаций (ПЗ-1/2015)"</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23. Приказ Минфина России от 14.06.2016 N 199 (ред. от 24.08.2018) "Об утверждении Положения о Департаменте регулирования бухгалтерского учета, финансовой отчетности и аудиторской деятельности"</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24. &lt;Информация&gt; Минфина России N ПЗ-3/2015 "Об упрощенной системе бухгалтерского учета и бухгалтерской отчетности"</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25. Информационное сообщение Минфина России от 07.04.2016 N ИС-учет-3 &lt;Об изменении порядка привлечения к административной ответственности за нарушение требований к бухгалтерскому учету и отчетности&gt;</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26. &lt;Письмо&gt; Минфина России от 12.12.2016 N 21-03-04/74236 &lt;О направлении формы заявки на подключение к системе "Электронный бюджет" уполномоченных лиц организаций&gt; Формирование и представление сводной (консолидированной) бюджетной (бухгалтерской) отчетности</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27. Информационное сообщение Минфина России от 19.05.2015 N ИС-учет-2 &lt;О Приказе Минфина России от 06.04.2015 N 57н&gt; Уточнены названия форм бухгалтерской отчетности</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28. Приказ Минфина России от 01.12.2016 N 556 (ред. от 01.06.2021) "Об утверждении Инструкции по делопроизводству в Министерстве финансов Российской Федерации" Приложение N 15. Порядок составления номенклатуры дел Министерства и заполнения ее граф</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29. &lt;Письмо&gt; ФНС России от 18.02.2016 N БС-4-11/2665 (с изм. от 05.04.2017) "О налогообложении основных средств" (вместе с &lt;Письмами&gt; Минфина России от 10.02.2016 N 03-05-04-01/6931, от 05.02.2016 N 03-05-04-01/5884) Приложение. Письмо Минфина России от 05.02.2016 N 03-05-04-01/5884</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30. Информационное сообщение Минфина России от 28.12.2016 N ИС-аудит-12 &lt;О протоколе Совета по аудиторской деятельности от 12.12.2016 N 28&gt; Примерные формы аудиторского заключения по МСА</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31. &lt;Письмо&gt; Минфина России от 27.12.2016 N 02-07-07/78369 &lt;О размещении Приказа Минфина России от 16.11.2016 N 209н&gt;</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32. Информационное сообщение Минфина России от 21.12.2016 N ИС-аудит-11 &lt;О Международных стандартах аудита&gt; Вместе с тем аудиторские организации и индивидуальные аудиторы в 2017 г. вправе провести (закончить) аудит бухгалтерской отчетности за 2016 г. по заключенному до 1 января 2017 г. договору в соответствии с федеральными правилами (стандартами) аудиторской деятельности, утвержденными Правительством Российской Федерации, и федеральными стандартами аудиторской деятельности...</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33. Информационное сообщение Минфина России от 15.12.2016 N ИС-аудит-10 &lt;О нестоимостных критериях оценки участников закупки аудиторских услуг&gt;</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34. Информационное сообщение Минфина России от 01.12.2016 N ИС-аудит-9 &lt;О форме федерального статистического наблюдения N 2-аудит&gt;</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35. Информационное сообщение Минфина России от 03.10.2016 N ИС-аудит-7 "Новое в аудиторском законодательстве: факты и комментарии" Установлены критерии оценки качества аудита</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36. &lt;Письмо&gt; Минфина России от 30.09.2016 N 07-04-19/56988 &lt;О протоколе заседания Совета по аудиторской деятельности от 22.09.2016 N 26&gt;</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37. Информационное сообщение Минфина России от 13.07.2016 N ИС-аудит-5 "Новое в аудиторском законодательстве: факты и комментарии" Обязательный аудит отчетности застройщика</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38. Информационное сообщение Минфина России от 06.07.2016 N ИС-аудит-4 "Новое в аудиторском законодательстве: факты и комментарии Новые случаи обязательной аудиторской проверки</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39. Информационное сообщение Минфина России от 24.06.2016 N ИС-учет-5 &lt;Об упрощении ведения бухгалтерского учета субъектами малого предпринимательства и рядом иных организаций&gt; &lt;1&gt; О допустимых упрощенных способах ведения бухгалтерского учета см. информационный документ ПЗ-3/2015 "Об упрощенной системе бухгалтерского учета и бухгалтерской отчетности", размещенный на официальном Интернет-сайте Минфина России www.minfin.ru в разделе "Бухгалтерский учет и отчетность - Бухгалтерский учет - Законодательные и иные нормативные правовые...</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40. &lt;Письмо&gt; ФАНО России от 18.02.2016 N 007-11.0-09/12 "Об отражении в учете грантов РФФИ" (вместе с &lt;Письмом&gt; Минфина России от 25.01.2016 N 02-07-10/2899) Приложение. Письмо Минфина России от 25.01.2016 N 02-07-10/2899</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41. &lt;Письмо&gt; Минфина России от 27.01.2016 N 02-06-07/3334 &lt;О размещении на официальном сайте Министерства финансов Российской Федерации текстов приказов Минфина России от 31.12.2015 N 227н, N 228н и N 229н&gt;</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42. &lt;Письмо&gt; Минфина России от 22.12.2015 N 02-06-07/75414 "О размещении на сайте Минфина России Методических рекомендаций по проведению главными распорядителями средств федерального бюджета инвентаризации объектов незавершенного строительства, вложений в объекты недвижимого имущества, и по представлению информации о результатах указанной инвентаризации"</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43. &lt;Письмо&gt; Минфина России N 02-06-07/75364, Казначейства России N 07-04-05/02-874 от 22.12.2015 "О направлении Методических рекомендаций по проведению главными распорядителями средств федерального бюджета инвентаризации объектов незавершенного строительства, вложений в объекты недвижимого имущества, и по представлению информации о результатах указанной инвентаризации" 1. Общие положения</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44. &lt;Письмо&gt; Минфина России от 17.12.2015 N 02-07-07/75014 "О размещении на сайте Минфина России Методических рекомендаций по проведению главными распорядителями средств федерального бюджета инвентаризации дебиторской задолженности по расходам федерального бюджета"</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45. Информационное сообщение Минфина России от 01.12.2015 &lt;О международных стандартах аудита&gt; Экспертиза применимости МСА на территории Российской Федерации</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46. &lt;Информация&gt; Минфина России N ОП 7-2015 "Обобщение практики применения МСФО на территории Российской Федерации" Аудит годовой консолидированной финансовой отчетности, составляемой и публикуемой инициативно</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47. &lt;Информация&gt; Минфина России N ПЗ-13/2015 "О применении установленных Минкультуры России правил комплектования, учета и организации хранения электронных архивных документов в отношении первичных и отчетных документов налогоплательщиков"</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48. &lt;Письмо&gt; Минфина России от 05.08.2015 N 02-10-10/45251 &lt;О представлении бюджетной отчетности с нарушением сроков&gt;</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49. Информационное сообщение Минфина России от 15.07.2015 &lt;Об изменениях, внесенных Федеральным законом от 29.06.2015 N 210-ФЗ&gt; Новые полномочия Правительства Российской Федерации в сфере закупок аудиторских и консультационных услуг</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50. &lt;Письмо&gt; Минфина России от 03.07.2015 N 07-03-10/38645 "О методической поддержке саморегулируемыми организациями аудиторов своих членов по тематике противодействия подкупу иностранных должностных лиц при осуществлении международных коммерческих сделок" Методические издания</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51. &lt;Письмо&gt; Минфина России от 10.06.2015 N 02-07-07/33768 &lt;О разъяснении применения положений Приказа Минфина России от 30.03.2015 N 52н&gt;</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52. &lt;Письмо&gt; Минфина России от 01.12.2016 N 07-04-24/70635 "О Сведениях об аудиторской деятельности (форма N 2-аудит)"</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53. Приказ Минфина России от 25.11.2016 N 517 "Об утверждении Порядка организации работы по обобщению и анализу правоприменительной практики контрольно-надзорной деятельности при осуществлении государственного контроля (надзора) за деятельностью саморегулируемых организаций аудиторов" Приказ</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54. Информационное сообщение Минфина России от 07.07.2016 N ИС-учет-6 &lt;О консолидированной финансовой отчетности&gt; Установлены Требования к оформлению проектов стандартов бухгалтерского учета</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55. Информационное сообщение Минфина России от 16.12.2015 &lt;О профессиональном стандарте "Аудитор"&gt; Применение профессионального стандарта</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56. Приказ Минфина России от 16.11.2016 N 209н (ред. от 20.09.2024) "О внесении изменений в некоторые приказы Министерства финансов Российской Федерации в целях совершенствования бюджетного (бухгалтерского) учета и отчетности" (Зарегистрировано в Минюсте России 15.12.2016 N 44741)</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57. Приказ Минфина России от 06.04.2015 N 57н (ред. от 04.10.2023) "О внесении изменений в нормативные правовые акты по бухгалтерскому учету" (Зарегистрировано в Минюсте России 30.04.2015 N 37103) 1) в последнем абзаце пункта 12 слова "Субъекты малого предпринимательства, за исключением эмитентов публично размещаемых ценных бумаг, а также социально ориентированные некоммерческие организации вправе" заменить словами "Организации, которые вправе применять упрощенные способы ведения бухгалтерского учета, включая упрощенную бухгалтерскую (финансовую) отчетность, могут";</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58. Приказ Минфина России от 17.10.2016 N 188н "О признании утратившим силу приказа Министерства финансов Российской Федерации от 10 января 2007 г. N 3н "Об особенностях бухгалтерской отчетности негосударственных пенсионных фондов" (Зарегистрировано в Минюсте России 29.11.2016 N 44476)</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59. Приказ Минфина России от 11.04.2016 N 42н "О признании утратившим силу приказа Министерства финансов Российской Федерации от 27 июля 2012 г. N 109н" (Зарегистрировано в Минюсте России 11.05.2016 N 42070)</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60. Приказ Минфина России от 18.03.2016 N 28н "О признании утратившим силу приказа Министерства финансов Российской Федерации от 2 февраля 2011 г. N 10н" (Зарегистрировано в Минюсте России 19.04.2016 N 41847)</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61. Приказ Минфина России от 17.12.2015 N 199н "О внесении изменений в приказ Министерства финансов Российской Федерации от 25 марта 2011 г. N 33н "Об утверждении Инструкции о порядке составления, представления годовой, квартальной бухгалтерской отчетности государственных (муниципальных) бюджетных и автономных учреждений" (Зарегистрировано в Минюсте России 28.01.2016 N 40889)</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62. Приказ Минфина России от 20.03.2015 N 43н "О внесении изменений в Инструкцию о порядке составления и представления годовой, квартальной бухгалтерской отчетности государственных (муниципальных) бюджетных и автономных учреждений, утвержденную приказом Министерства финансов Российской Федерации от 25 марта 2011 г. N 33н" (Зарегистрировано в Минюсте России 01.04.2015 N 36668)</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63. "Рекомендации аудиторским организациям, индивидуальным аудиторам, аудиторам по проведению аудита годовой бухгалтерской отчетности организаций за 2016 год" (приложение к письму Минфина России от 28.12.2016 N 07-04-09/78875)</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64. "Перечень федеральных стандартов аудиторской деятельности, федеральных правил (стандартов) аудиторской деятельности, утвержденных Правительством Российской Федерации, и правил (стандартов) аудиторской деятельности, одобренных Комиссией по аудиторской деятельности при Президенте Российской Федерации" ФСАД 1/2010 ... Аудиторское заключение о бухгалтерской (финансовой) отчетности и формирование мнения о ее достоверности ... Приказ Минфина России от 20 мая 2010 г. N 46н ... 17 августа 2010 г.</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65. "Рекомендации аудиторским организациям, индивидуальным аудиторам, аудиторам по проведению аудита годовой бухгалтерской отчетности организаций за 2015 год" (приложение к письму Минфина России от 22.01.2016 N 07-04-09/2355)</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66. "Основные направления налоговой политики Российской Федерации на 2016 год и плановый период 2017 и 2018 годов" ...раскрытии информации о налогоплательщиках-организациях и той информации, которая в настоящее время и так публикуется как составная часть бухгалтерской (финансовой) отчетности организации. Также необходимо исключить бухгалтерскую (финансовую) отчетность организации, представляемую в налоговый орган, из состава налоговой тайны, одновременно исключив обязанность по представлению указанной отчетности повторно в...</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67. "План деятельности Федерального казначейства на 2017 год" (утв. Минфином России 30.12.2016) Раздел 21. Осуществление функций по внешнему контролю качества работы аудиторских организации</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68. "План деятельности ФНС России на 2017 год" (утв. Минфином России 08.12.2016) 1.1. Организация и проведение налогового контроля налогоплательщиков с применением аналитических инструментов, выявление сокрытой налоговой базы и недостоверной информации при расчете налогов</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69. &lt;Письмо&gt; Минфина России от 18.07.2016 N 02-06-07/41980 "О размещении на сайте Минфина России системного письма по отчетности"</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70. &lt;Письмо&gt; Минфина России от 18.07.2016 N 02-06-07/41975 &lt;В дополнение к совместному Письму Минфина России N 02-07-07/39110, Казначейства России N 07-04-05/02-493 от 04.07.2016&gt;</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71. &lt;Письмо&gt; Минфина России N 02-07-07/39110, Казначейства России N 07-04-05/02-493 от 04.07.2016 "Об отдельных вопросах составления и представления месячной и квартальной бюджетной отчетности, квартальной сводной бухгалтерской отчетности государственных (муниципальных) бюджетных и автономных учреждений в 2016 году" (вместе с "Разъяснениями отдельных вопросов составления и представления месячной и квартальной бюджетной отчетности, квартальной бухгалтерской отчетности (сводной отчетности) государственных (муниципальных) бюджетных и автономных учреждений в 2016 году")</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72. &lt;Письмо&gt; Минфина России от 23.03.2016 N 02-07-07/16375, Казначейства России от 23.03.2016 N 07-04-05/02-200 (ред. от 04.07.2016) "О составлении и представлении месячной и квартальной бюджетной отчетности, квартальной сводной бухгалтерской отчетности государственных (муниципальных) бюджетных и автономных учреждений финансовыми органами субъектов Российской Федерации и органами управления государственных внебюджетных фондов в 2016 году"</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73. &lt;Информация&gt; Минфина России "Сопоставительная таблица целевых статей расходов (государственных программ Российской Федерации, подпрограмм, основных мероприятий, непрограммных направлений деятельности), применяемых при исполнении федерального бюджета и бюджетов государственных внебюджетных фондов Российской Федерации в 2017 году, к применяемым в 2016 году"</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74. Информационное сообщение Минфина России от 07.06.2016 N ИС-учет-4 "Принята программа разработки федеральных стандартов бухгалтерского учета"</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75. "План деятельности Министерства финансов Российской Федерации на 2016 - 2021 годы" (утв. Минфином России 26.05.2016) В. Информация о содержании и основных направлениях государственной политики в сфере ведения Министерства финансов Российской Федерации</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76. Информационное сообщение Минфина России от 05.04.2016 N ИС-аудит-3 "Новое в аудиторском законодательстве: факты и комментарии" Установлен порядок учета сетей аудиторских организаций</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77. &lt;Письмо&gt; Минфина России от 01.04.2016 N 02-06-07/19436 "О порядке учета бюджетными и автономными учреждениями субсидий на финансовое обеспечение выполнения государственного (муниципального) задания и остатков неиспользованных субсидий, подлежащих возврату в бюджет"</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78. &lt;Письмо&gt; Минфина России от 31.03.2016 N 02-07-07/18598 "Об особенностях составления и представления квартальной бюджетной отчетности в 2016 году"</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79. Информационное сообщение Минфина России от 22.03.2016 N ИС-аудит-2 &lt;О соотношении стоимостного и нестоимостного критериев оценки заявок, окончательных предложений участников закупки аудиторских услуг для обеспечения государственных и муниципальных нужд&gt;</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80. &lt;Письмо&gt; Минфина России N 02-07-07/15237, Казначейства России N 07-04-05/02-178 от 17.03.2016 "О составлении и представлении месячной и квартальной бюджетной отчетности, квартальной сводной бухгалтерской отчетности государственных бюджетных и автономных учреждений главными администраторами средств федерального бюджета в 2016 году"</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81. &lt;Письмо&gt; Минфина России от 29.01.2016 N 07-04-24/4007 "О предоставлении сведений об аудиторской деятельности (форма N 2-аудит)"</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82. &lt;Письмо&gt; Минфина России от 27.01.2016 N 02-06-07/3333 &lt;О формировании годовой бюджетной (бухгалтерской) отчетности за 2015 год&gt;</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83. Информационное сообщение Минфина России от 20.01.2016 N ИС-аудит-1 &lt;О Перечне случаев обязательного аудита бухгалтерской (финансовой) отчетности за 2015 год&gt;</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84. &lt;Информация&gt; Минфина России "Перечень случаев проведения обязательного аудита бухгалтерской (финансовой) отчетности за 2015 год (согласно законодательству Российской Федерации)"</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85. &lt;Письмо&gt; Минфина России N 02-07-07/77756, Казначейства России N 07-04-05/02-920 от 30.12.2015 "Об особенностях составления и представления годовой бюджетной отчетности и сводной бухгалтерской отчетности государственных (муниципальных) бюджетных и автономных учреждений финансовыми органами субъектов Российской Федерации и органами управления государственными внебюджетными фондами за 2015 год"</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86. &lt;Письмо&gt; Минфина России N 02-07-07/77754, Казначейства России N 07-04-05/02-919 от 30.12.2015 "Об особенностях составления и представления годовой бюджетной отчетности и сводной бухгалтерской отчетности государственных бюджетных и автономных учреждений главными администраторами средств федерального бюджета за 2015 год"</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87. Информационное сообщение Минфина России от 27.11.2015 &lt;Об изменениях Приказа Минфина России от 11.01.2013 N 3н&gt; Уточнена терминология Административного регламента</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88. &lt;Письмо&gt; Минфина России N 02-07-07/55198, Казначейства России N 07-04-05/02-642 от 28.09.2015 "Об особенностях составления и представления бюджетной отчетности на 1 октября 2015 года"</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89. Информационное сообщение Минфина России от 16.09.2015 &lt;О порядке проведения квалификационного экзамена на получение квалификационного аттестата аудитора&gt; Предоставлена возможность сдавать письменную работу поэтапно</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90. Информационное сообщение Минфина России от 27.07.2015 "Обмен информацией для ведения реестра аудиторов и аудиторских организаций в электронной форме" Уточнен предмет государственного контроля (надзора) за деятельностью саморегулируемых организаций аудиторов</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91. &lt;Письмо&gt; Минфина России от 02.07.2015 N 02-07-07/38285 &lt;О размещении письма Минфина России от 01.07.2015 N 02-07-07/38257 с примерами форм Отчета об исполнении учреждением плана его финансово-хозяйственной деятельности на официальном сайте Минфина России&gt;</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92. &lt;Письмо&gt; Минфина России от 01.07.2015 N 02-07-07/38257 &lt;О дополнении к письму Минфина России от 15.04.2015 N 02-07-07/21402&gt; Приложение N 1. Примеры заполнения форм Отчета об исполнении учреждением плана его финансово-хозяйственной деятельности (ф. 0503737) (далее - Отчет ф. 0503737)</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93. &lt;Письмо&gt; Минфина России от 14.05.2015 N 02-07-07/27504 "Об определении размера балансовой стоимости активов для определения размера крупной сделки бюджетными и автономными учреждениями в 2015 году"</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94. &lt;Письмо&gt; Минфина России от 14.05.2015 N 02-05-11/27759 &lt;О формировании проектов бюджетов субъектов Российской Федерации, муниципальных образований и проектов бюджетов территориальных государственных внебюджетных фондов на 2016 год и на плановый период 2017 и 2018 годов&gt; 1. Код классификации операций сектора государственного управления (КОСГУ)</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95. &lt;Письмо&gt; Минфина России от 15.04.2015 N 02-07-07/21402 &lt;О дополнении к Письму Минфина России N 02-07-07/4574, Казначейства России N 07-04-05/02-77 от 04.02.2015&gt; Письмо</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96. &lt;Письмо&gt; Минфина России от 07.04.2015 N 02-07-07/19547 &lt;О размещении на официальном сайте Минфина России в разделе Бухгалтерский учет и бухгалтерская (финансовая) отчетность государственного сектора писем Минфина России&gt;</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97. &lt;Письмо&gt; Минфина России от 06.04.2015 N 07-04-12/19119 &lt;О Сборнике примерных форм аудиторских заключений о бухгалтерской (финансовой) отчетности&gt;</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98. &lt;Письмо&gt; Минфина России от 06.04.2015 N 02-07-07/19181 &lt;О направлении примеров заполнения форм квартальной отчетности в 2015 году&gt; Письмо</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99. &lt;Письмо&gt; Минфина России от 13.02.2015 N 02-07-07/6783 &lt;О раскрытии в бюджетной отчетности информации о стоимости объектов нефинансовых активов, формирующей налоговую базу по налогу на имущество организаций, земельному налогу&gt;</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100. "Рекомендации аудиторским организациям, индивидуальным аудиторам, аудиторам по проведению аудита годовой бухгалтерской отчетности организаций за 2014 год" (Приложение к письму Минфина России от 06.02.2015 N 07-04-06/5027)</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101. &lt;Письмо&gt; Минфина России N 02-07-07/4575, Казначейства России N 07-04-05/02-76 от 04.02.2015 "О составлении и представлении месячной и квартальной бюджетной отчетности, квартальной сводной бухгалтерской отчетности государственных бюджетных и автономных учреждений финансовыми органами субъектов Российской Федерации и органами управления государственных внебюджетных фондов в 2015 году"</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102. &lt;Письмо&gt; Минфина России N 02-07-07/4574, Казначейства России N 07-04-05/02-77 от 04.02.2015 "О составлении и представлении месячной и квартальной бюджетной отчетности, квартальной сводной бухгалтерской отчетности государственных бюджетных и автономных учреждений главными администраторами средств федерального бюджета в 2015 году"</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103. &lt;Письмо&gt; Минфина России от 03.02.2015 N 02-07-07/4545 &lt;О составлении годовой бюджетной (бухгалтерской) отчетности за 2014 год&gt;</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104. &lt;Информация&gt; Минфина России "Перечень случаев проведения обязательного аудита бухгалтерской (финансовой) отчетности за 2014 год (согласно законодательству Российской Федерации)"</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105. &lt;Письмо&gt; Минфина России от 16.01.2015 N 07-04-27/657 "О предоставлении сведений об аудиторской деятельности (форма N 2-аудит)"</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106. &lt;Письмо&gt; Минфина России от 16.01.2015 N 07-04-27/656 "О предоставлении сведений об аудиторской деятельности (форма N 2-аудит)"</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107. &lt;Письмо&gt; Минфина России N 02-06-07/13665, Казначейства России N 07-04-05/02-155 от 13.03.2015 &lt;О внесении изменений в письмо Минфина России N 02-07-07/68722, Казначейства России N 42-7.4-05/2.1-823 от 29.12.2014&gt;</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108. "Международный стандарт аудита 700 (пересмотренный) "Формирование мнения и составление заключения о финансовой отчетности" (введен в действие на территории Российской Федерации Приказом Минфина России от 09.11.2016 N 207н) "... в соответствии с Международными стандартами финансовой отчетности" или "... в соответствии с принципами бухгалтерского учета, общепринятыми в юрисдикции X...".</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109. "Международный стандарт аудита 600 "Особенности аудита финансовой отчетности группы (включая работу аудиторов компонентов)" (введен в действие на территории Российской Федерации Приказом Минфина России от 09.11.2016 N 207н) &lt; искажения финансовой ... бухгалтерского учета ... отчетности группы в силу ... видов операций или ... своей специфики ... раскрытия информации ... или обстоятельств? ... относящихся ... к вероятным ... значительным рискам, ... или выполнение ...</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110. "Международный стандарт аудита 580 "Письменные заявления" (введен в действие на территории Российской Федерации Приказом Минфина России от 09.11.2016 N 207н) - доступ ко всей известной нам информации, относящейся к подготовке финансовой отчетности, такой как бухгалтерские записи, документация и прочие сведения;</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111. "Международный стандарт аудита 570 (пересмотренный) "Непрерывность деятельности" (введен в действие на территории Российской Федерации Приказом Минфина России от 09.11.2016 N 207н) ...том, чтобы получить достаточные надлежащие аудиторские доказательства и сделать вывод в отношении правомерности применения руководством принципа непрерывности деятельности, используемого в бухгалтерском учете, при подготовке финансовой отчетности и на основании полученных аудиторских доказательств сделать вывод о наличии или отсутствии существенной неопределенности в отношении способности организации продолжать непрерывно...</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112. "Международный стандарт аудита 810 "Задания по предоставлению заключения об обобщенной финансовой отчетности" (введен в действие на территории Российской Федерации Приказом Минфина России от 09.11.2016 N 207н) ...не по наименьшей из двух сумм - себестоимости и чистой цены реализации, а только по себестоимости, что является отклонением от Международных стандартов финансовой отчетности. Бухгалтерские записи организации указывают на то, что, если бы руководство отражало запасы по наименьшей из двух сумм - себестоимости и чистой цены реализации, стоимость...</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113. "Международный стандарт аудита 805 "Особенности аудита отдельных отчетов финансовой отчетности и отдельных элементов, групп статей или статей финансовой отчетности" (введен в действие на территории Российской Федерации Приказом Минфина России от 09.11.2016 N 207н) - Аудит бухгалтерского баланса (то есть отдельного отчета из состава финансовой отчетности). - Бухгалтерский баланс составлен руководством организации в соответствии с требованиями принятой в юрисдикции X концепции подготовки финансовой отчетности, применимой к составлению бухгалтерского баланса.</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114. "Международный стандарт аудита 210 "Согласование условий аудиторских заданий" (введен в действие на территории Российской Федерации Приказом Минфина России от 09.11.2016 N 207н) a. доступом ко всей информации, о которой известно [руководству] и которая имеет значение для подготовки финансовой отчетности, например, к данным бухгалтерского учета, документации и прочим сведениям;</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115. "Международный стандарт заданий, обеспечивающих уверенность 3420 "Задания, обеспечивающие уверенность, в отношении компиляции проформы финансовой информации, включаемой в проспект ценных бумаг" (введен в действие на территории Российской Федерации Приказом Минфина России от 24.10.2016 N 192н) (e) применимой концепции подготовки финансовой отчетности, практики ведения бухгалтерского учета и подготовки финансовой отчетности организации, а также приобретаемого или отчуждаемого предприятия, включая выбор и применение учетной политики.</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116. "Международный стандарт обзорных проверок 2400 (пересмотренный) "Задания по обзорной проверке финансовой отчетности прошедших периодов" (введен в действие на территории Российской Федерации Приказом Минфина России от 24.10.2016 N 192н) Отсутствие расхождений между данными финансовой отчетности и бухгалтерскими записями, на основе которых она подготовлена</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117. "Международный отчет о практике аудита 1000 "Особенности аудита финансовых инструментов" (введен в действие на территории Российской Федерации Приказом Минфина России от 24.10.2016 N 192н) 34. Во многих концепциях подготовки финансовой отчетности для целей представления бухгалтерского баланса, расчета прибыли или убытка и (или) раскрытия информации финансовые инструменты, в том числе встроенные производные финансовые инструменты, часто оцениваются по справедливой стоимости.</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118. "Международный стандарт аудита 315 (пересмотренный) "Выявление и оценка рисков существенного искажения посредством изучения организации и ее окружения" (введен в действие на территории Российской Федерации Приказом Минфина России от 24.10.2016 N 192н) Бухгалтерские записи</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119. "Международный стандарт сопутствующих услуг 4410 (пересмотренный) "Задания по компиляции" (введен в действие на территории Российской Федерации Приказом Минфина России от 24.10.2016 N 192н) (a) применять профессиональный опыт в области бухгалтерского учета и финансовой отчетности для оказания руководству содействия в подготовке и представлении финансовой информации в соответствии с применимой концепцией подготовки финансовой отчетности на основании предоставленной руководством информации;</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120. "Международный стандарт обзорных проверок 2410 "Обзорная проверка промежуточной финансовой информации, выполняемая независимым аудитором организации" (введен в действие на территории Российской Федерации Приказом Минфина России от 24.10.2016 N 192н) - изучение значимых вопросов бухгалтерского учета и отчетности, которые могут сохранять значимость, таких как значительные недостатки системы внутреннего контроля;</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121. "Международный стандарт аудита 402 "Особенности аудита организации, пользующейся услугами обслуживающей организации" (введен в действие на территории Российской Федерации Приказом Минфина России от 24.10.2016 N 192н) ...такие операции организации-пользователя инициируются, обобщаются, обрабатываются и, по мере необходимости, корректируются, переносятся в основной регистр и отражаются в финансовой отчетности; (c) соответствующие данные бухгалтерского учета как в электронной форме, так и выполненные в ручном режиме, подтверждающая информация и конкретные счета в финансовой отчетности организации...</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122. "Международный стандарт аудита 330 "Аудиторские процедуры в ответ на оцененные риски" (введен в действие на территории Российской Федерации Приказом Минфина России от 24.10.2016 N 192н) (a) согласование или сверка финансовой отчетности с первичными данными бухгалтерского учета;</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123. "Международный стандарт аудита 240 "Обязанности аудитора в отношении недобросовестных действий при проведении аудита финансовой отчетности" (введен в действие на территории Российской Федерации Приказом Минфина России от 24.10.2016 N 192н) Если в процессе подготовки финансовой отчетности задействованы информационные технологии, бухгалтерские записи и прочие корректировки могут существовать лишь в электронной форме;</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124. "Международный стандарт аудита 200 "Основные цели независимого аудитора и проведение аудита в соответствии с международными стандартами аудита" (введен в действие на территории Российской Федерации Приказом Минфина России от 24.10.2016 N 192н) a. доступа ко всей информации, известной руководству и, если уместно, лицам, отвечающим за корпоративное управление, и которая значима для подготовки финансовой отчетности, например, данных бухгалтерского учета, документации и информации о прочих вопросах;</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125. "Международный стандарт аудита 500 "Аудиторские доказательства" (введен в действие на территории Российской Федерации Приказом Минфина России от 24.10.2016 N 192н) ...числе чеки и данные об электронных безналичных платежах; счета; договоры; основные регистры и вспомогательные ведомости, бухгалтерские записи и разные корректировки дня подготовки финансовой отчетности, которые не отражены в бухгалтерских регистрах, а также данные разработочных и сводных таблиц, подтверждающих распределение затрат, расчеты, сверки и раскрытие информации;</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126. "Международный стандарт аудита 550 "Связанные стороны" (введен в действие на территории Российской Федерации Приказом Минфина России от 24.10.2016 N 192н) 3. Поскольку связанные стороны не являются независимыми друг от друга, многие концепции подготовки финансовой отчетности предусматривают определенные требования по ведению бухгалтерского учета и раскрытию информации в части взаимоотношений, операций между связанными сторонами и остатков по счетам, чтобы адресаты финансовой отчетности могли составить представление об их...</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127. "Примерные методические рекомендации аудиторским организациям и индивидуальным аудиторам по тематике противодействия подкупу иностранных должностных лиц при осуществлении международных коммерческих сделок" Правовые основы противодействия подкупу иностранных должностных лиц</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128. Информационное сообщение Минфина России от 17.11.2016 N ИС-аудит-8 &lt;О совершенствовании порядка ведения реестра аудиторов и аудиторских организаций&gt; Дополнительные сведения об аудиторской организации</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129. Информационное сообщение Минфина России от 23.08.2016 N ИС-аудит-6 &lt;О Порядке выдачи квалификационного аттестата аудитора&gt; Новое в Порядке</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130. Информационное сообщение Минфина России от 10.08.2015 &lt;О предоставлении сведений из государственного реестра саморегулируемых организаций аудиторов&gt;</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131. &lt;Письмо&gt; Минфина России от 27.04.2015 N 02-07-07/24261 "Об отражении в учете бюджетных и автономных учреждений операций по перечислению и возврату денежных залогов"</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132. &lt;Письмо&gt; Минфина России от 10.04.2015 N 02-07-07/20475 "Об отражении в учете бюджетных и автономных учреждений операций с иностранной валютой" Письмо</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133. Приказ Минфина России от 30.11.2015 N 184н (ред. от 31.03.2023) "Об утверждении Плана счетов казначейского учета и Инструкции по его применению и о внесении изменений в приложения к приказу Министерства финансов Российской Федерации от 6 декабря 2010 г. N 162н" (Зарегистрировано в Минюсте России 14.01.2016 N 40589) Приложение N 2. Инструкция по применению Плана счетов казначейского учета</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134. Приказ Минфина России от 30.11.2016 N 221н (ред. от 09.09.2021) "Об утверждении Порядка формирования информации по статистике государственных финансов" (Зарегистрировано в Минюсте России 10.02.2017 N 45598) Приказ</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135. Приказ Минфина России от 25.02.2015 N 29н (ред. от 06.07.2020) "Об утверждении Правил предоставления из федерального бюджета субсидий федеральным бюджетным учреждениям, находящимся в ведении Министерства финансов Российской Федерации" (Зарегистрировано в Минюсте России 24.03.2015 N 36551) Правила предоставления из федерального бюджета субсидий федеральным бюджетным учреждениям, находящимся в ведении Министерства финансов Российской Федерации</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136. Приказ Минфина России от 31.12.2016 N 261н (ред. от 20.06.2019) "О Порядке формирования и представления главными распорядителями средств федерального бюджета обоснований бюджетных ассигнований" (Зарегистрировано в Минюсте России 03.02.2017 N 45535) 106. Особенности комплексного обоснования бюджетных ассигнований на реализацию инвестиционного проекта (мероприятия)</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137. Приказ Минфина России от 07.07.2016 N 110н (ред. от 08.05.2019) "Об утверждении перечня подсистем (компонентов, модулей) государственной интегрированной информационной системы управления общественными финансами "Электронный бюджет", оператором которых является Министерство финансов Российской Федерации, и перечня подсистем (компонентов, модулей) государственной интегрированной информационной системы управления общественными финансами "Электронный бюджет", оператором которых является Федеральное казначейство" Перечень подсистем (компонентов, модулей) государственной интегрированной информационной системы управления общественными финансами "Электронный бюджет", оператором которых является Федеральное казначейство</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138. Приказ Минфина России от 30.12.2016 N 822 (ред. от 27.07.2018) "Об утверждении Методических рекомендаций по осуществлению внутреннего финансового аудита" I. Общие положения</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139. Приказ Минфина России от 22.04.2015 N 70н (ред. от 21.03.2018) "Об учреждении ведомственных наград Министерства финансов Российской Федерации" (вместе с "Положением о нагрудном знаке "Отличник финансовой работы", "Положением о благодарности Министра финансов Российской Федерации", "Положением о благодарности Министерства финансов Российской Федерации") (Зарегистрировано в Минюсте России 19.05.2015 N 37322) Приложение N 1. Положение о нагрудном знаке "Отличник финансовой работы"</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140. Приказ Минфина России от 21.09.2015 N 143н (ред. от 04.12.2017) "Об утверждении Положения об осуществлении Министерством финансов Российской Федерации внутреннего финансового аудита" (Зарегистрировано в Минюсте России 14.10.2015 N 39311) Приложение N 2. Предельные сроки проведения аудиторских проверок, основания для их приостановления и продления</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141. Приказ Минфина России от 18.10.2016 N 444 (ред. от 29.05.2017) "Об утверждении Перечня правовых актов и их отдельных частей (приложений), содержащих обязательные требования, соблюдение которых оценивается при осуществлении государственного контроля (надзора) за деятельностью саморегулируемых организаций аудиторов и порядка ведения указанного перечня" (вместе с "Порядком ведения перечня правовых актов и их отдельных частей (приложений), содержащих обязательные требования, соблюдение которых оценивается при осуществлении государственного контроля (надзора) за деятельностью саморегулируемых организаций аудиторов") Приказ</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142. Приказ Минфина России от 18.05.2016 N 67н (ред. от 04.04.2017) "Об утверждении формы и порядка представления отчета о результатах проведения Федеральным казначейством контрольных мероприятий в финансово-бюджетной сфере" (Зарегистрировано в Минюсте России 09.06.2016 N 42488) 7. Сведения о жалобах (протестах) и исковых заявлениях на решения Федерального казначейства и его территориальных органов, а также на их действия (бездействие) в рамках осуществления ими контрольной деятельности в финансово-бюджетной сфере</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143. Приказ Минфина России от 10.04.2015 N 64н (ред. от 25.11.2016) "Об утверждении программы разработки федеральных стандартов бухгалтерского учета для организаций государственного сектора" (Зарегистрировано в Минюсте России 07.05.2015 N 37155) Приложение. Программа разработки федеральных стандартов бухгалтерского учета для организаций государственного сектора</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144. Приказ Минфина России от 28.09.2016 N 397 "Об официальном сайте Министерства финансов Российской Федерации в информационно-телекоммуникационной сети "Интернет" (вместе с "Положением об официальном сайте Министерства финансов Российской Федерации в информационно-телекоммуникационной сети "Интернет", "Регламентом информационного наполнения официального сайта Министерства финансов Российской Федерации в информационно-телекоммуникационной сети "Интернет") III. Информация о текущей деятельности Министерства (в пределах компетенции)</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145. Приказ Минфина России от 23.05.2016 N 70н "Об утверждении программы разработки федеральных стандартов бухгалтерского учета на 2016 - 2018 гг." (Зарегистрировано в Минюсте России 26.05.2016 N 42294) 1. Разработка федеральных стандартов бухгалтерского учета</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146. Приказ Минфина России от 12.05.2016 N 60н "Об утверждении дополнительных форм годовой и квартальной бухгалтерской отчетности, представляемой федеральными государственными бюджетными и автономными учреждениями, и Инструкции о порядке их составления и представления" (Зарегистрировано в Минюсте России 24.05.2016 N 42234)</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147. Приказ Минфина России от 18.12.2015 N 203н "Об утверждении Положения о принципах осуществления внешнего контроля качества работы аудиторских организаций, индивидуальных аудиторов и требованиях к организации указанного контроля" (Зарегистрировано в Минюсте России 22.03.2016 N 41502) 32. Определение эффективности организации внутреннего контроля качества работы объекта ВККР осуществляется путем проверки соблюдения правил внутреннего контроля качества работы объекта ВККР, а также рабочей документации аудитора по конкретным аудиторским заданиям по аудиту бухгалтерской (финансовой) отчетности (далее - аудиторское задание).</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148. Приказ Минфина России от 17.07.2015 N 112н "Об утверждении формы и порядка представления отчета о результатах проведения Федеральной службой финансово-бюджетного надзора контрольных мероприятий в финансово-бюджетной сфере" (Зарегистрировано в Минюсте России 01.10.2015 N 39093) 7. Сведения о жалобах (протестах) и исковых заявлениях на решения органов Федеральной службы финансово-бюджетного надзора, а также на их действия (бездействие) в рамках осуществления ими контрольной деятельности в финансово-бюджетной сфере</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149. Приказ Минфина России от 23.03.2015 N 45н "Об утверждении правил подготовки и уточнения программы разработки федеральных стандартов бухгалтерского учета для организаций государственного сектора" (Зарегистрировано в Минюсте России 20.04.2015 N 36936) Приложение. Правила подготовки и уточнения программы разработки федеральных стандартов бухгалтерского учета для организаций государственного сектора</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150. &lt;Письмо&gt; Минфина России от 19.01.2015 N 02-11-05/932 &lt;О направлении Методических рекомендаций по осуществлению внутреннего финансового контроля и Методических рекомендаций по осуществлению внутреннего финансового аудита&gt; III. Рекомендации по формированию регламента осуществления ведомственного финансового контроля</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151. Приказ Минфина России от 25.05.2016 N 181 (ред. от 26.06.2017) "Об утверждении Положения о Правовом департаменте Министерства финансов Российской Федерации" Положение о Правовом департаменте Министерства финансов Российской Федерации</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152. Приказ Минфина России от 18.08.2016 N 324 (ред. от 12.04.2017) "Об утверждении Положения о Департаменте бюджетной методологии и финансовой отчетности в государственном секторе Министерства финансов Российской Федерации" Положение о Департаменте бюджетной методологии и финансовой отчетности в государственном секторе Министерства финансов Российской Федерации</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153. &lt;Письмо&gt; ФНС России от 22.07.2016 N БС-4-11/13220 "О налогообложении основных средств" (вместе с &lt;Письмами&gt; Минфина России от 07.07.2016 N 03-05-04-01/39869, от 01.07.2016 N 03-05-05-01/38445) Приложение. Письмо Минфина России от 01.07.2016 N 03-05-05-01/38445</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154. Приказ Минфина России от 08.06.2016 N 194 "Об утверждении Положения об Административном департаменте" Положение об Административном департаменте</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155. Приказ Минфина России от 07.12.2016 N 230н "О внесении изменений в Указания о порядке применения бюджетной классификации Российской Федерации, утвержденные приказом Министерства финансов Российской Федерации от 1 июля 2013 г. N 65н" 39 3 06 00000 ... Основное мероприятие "Организация и осуществление внешнего контроля качества работы аудиторских организаций, проводящих обязательный аудит бухгалтерской (финансовой) отчетности организаций, определенных действующим законодательством"</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156. Приказ Минфина России от 30.11.2016 N 220н "О внесении изменения в приказ Министерства финансов Российской Федерации от 24 октября 2016 г. N 192н "О введении в действие международных стандартов аудита на территории Российской Федерации" (Зарегистрировано в Минюсте России 19.12.2016 N 44790)</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157. Приказ Минфина России от 24.10.2016 N 192н (ред. от 30.11.2016) "О введении в действие международных стандартов аудита на территории Российской Федерации" (Зарегистрировано в Минюсте России 10.11.2016 N 44299)</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158. Приказ Минфина России от 25.11.2016 N 218н "О внесении изменения в приказ Министерства финансов Российской Федерации от 10 апреля 2015 г. N 64н "Об утверждении программы разработки федеральных стандартов бухгалтерского учета для организаций государственного сектора" (Зарегистрировано в Минюсте России 16.12.2016 N 44765) Приказ</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159. Приказ Минфина России от 09.11.2016 N 207н "О введении в действие международных стандартов аудита на территории Российской Федерации" (Зарегистрировано в Минюсте России 17.11.2016 N 44354) применяются для проведения аудита бухгалтерской (финансовой) отчетности, составленной за любые отчетные периоды.</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160. Приказ Минфина России от 23.09.2016 N 163н "О внесении изменений в приложения N 1, N 2, N 3 и N 4 к приказу Министерства финансов Российской Федерации от 22 апреля 2015 г. N 70н "Об учреждении ведомственных наград Министерства финансов Российской Федерации" (Зарегистрировано в Минюсте России 12.10.2016 N 44014) Приказ</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161. Приказ Минфина России от 22.09.2016 N 162н "О внесении изменений в Положение о порядке ведения реестра аудиторов и аудиторских организаций саморегулируемой организации аудиторов и контрольного экземпляра реестра аудиторов и аудиторских организаций саморегулируемых организаций аудиторов, утвержденное приказом Министерства финансов Российской Федерации от 30 октября 2009 г. N 111н" (Зарегистрировано в Минюсте России 07.11.2016 N 44260)</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162. Приказ Минфина России от 20.06.2016 N 90н "О внесении изменений в Указания о порядке применения бюджетной классификации Российской Федерации, утвержденные приказом Министерства финансов Российской Федерации от 1 июля 2013 г. N 65н" 39 3 06 00000 Основное мероприятие "Организация и осуществление внешнего контроля качества работы аудиторских организаций, проводящих обязательный аудит бухгалтерской (финансовой) отчетности организаций, определенных действующим законодательством".</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163. Приказ Минфина России от 01.12.2015 N 190н "О внесении изменений в Указания о порядке применения бюджетной классификации Российской Федерации, утвержденные приказом Министерства финансов Российской Федерации от 1 июля 2013 г. N 65н" 39 3 06 00000 Основное мероприятие "Организация и осуществление внешнего контроля качества работы аудиторских организаций, проводящих обязательный аудит бухгалтерской (финансовой) отчетности организаций, определенных действующим законодательством";</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164. Приказ Минфина России от 17.08.2015 N 127н "О внесении изменений в приказ Министерства финансов Российской Федерации от 6 декабря 2010 г. N 162н "Об утверждении Плана счетов бюджетного учета и Инструкции по его применению" (Зарегистрировано в Минюсте России 04.09.2015 N 38808) Приложение. Изменения, вносимые в приказ Министерства финансов Российской Федерации от 6 декабря 2010 г. N 162н</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165. Приказ Минфина России от 06.08.2015 N 124н "О внесении изменений в приказ Министерства финансов Российской Федерации от 1 декабря 2010 г. N 157н "Об утверждении Единого плана счетов бухгалтерского учета для органов государственной власти (государственных органов), органов местного самоуправления, органов управления государственными внебюджетными фондами, государственных академий наук, государственных (муниципальных) учреждений и Инструкции по его применению" (Зарегистрировано в Минюсте России 27.08.2015 N 38719) ...по экономическому содержанию в целях составления достоверной финансовой отчетности и отражения показателей, необходимых для ведения бюджетного (бухгалтерского) учета, составления бюджетной (бухгалтерской) и иной финансовой отчетности, обеспечивающей сопоставимость показателей бюджетов бюджетной системы Российской Федерации, для финансового анализа исполнения бюджета, государственных заданий, бюджетных смет, планов финансово-хозяйственной...</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166. Приказ Минфина России от 27.07.2015 N 119н "О внесении изменений в приказ Министерства финансов Российской Федерации от 27 ноября 2014 г. N 138н "Об утверждении формы соглашения о представлении отчетов и иной дополнительной информации о ходе реализации самоокупаемого инфраструктурного проекта и об использовании средств Фонда национального благосостояния для его финансирования и форм отчетов о ходе реализации самоокупаемого инфраструктурного проекта и об использовании средств Фонда национального благосостояния для его финансирования" (Зарегистрировано в Минюсте России 27.08.2015 N 38708) Приказ</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167. Приказ Минфина России от 22.06.2015 N 96н "О внесении изменений в приказ Министерства финансов Российской Федерации от 21 сентября 2011 г. N 115н "Об утверждении Административного регламента по исполнению Министерством финансов Российской Федерации государственной функции по осуществлению государственного контроля (надзора) за деятельностью саморегулируемых организаций аудиторов" (Зарегистрировано в Минюсте России 14.07.2015 N 38008) Приказ</w:t>
      </w:r>
    </w:p>
    <w:p w:rsidR="004C68A9" w:rsidRPr="00F04239" w:rsidRDefault="00363F87" w:rsidP="004C68A9">
      <w:pPr>
        <w:autoSpaceDE w:val="0"/>
        <w:autoSpaceDN w:val="0"/>
        <w:spacing w:after="40"/>
        <w:ind w:firstLine="0"/>
        <w:jc w:val="both"/>
        <w:rPr>
          <w:rFonts w:ascii="Times New Roman" w:hAnsi="Times New Roman"/>
          <w:b/>
          <w:bCs/>
          <w:sz w:val="36"/>
          <w:szCs w:val="36"/>
        </w:rPr>
      </w:pPr>
      <w:r>
        <w:rPr>
          <w:rFonts w:ascii="Times New Roman" w:hAnsi="Times New Roman" w:cs="Times New Roman"/>
          <w:sz w:val="20"/>
          <w:szCs w:val="28"/>
        </w:rPr>
        <w:t>168. Приказ Минфина России от 08.06.2015 N 90н "О внесении изменений в Указания о порядке применения бюджетной классификации Российской Федерации, утвержденные приказом Министерства финансов Российской Федерации от 1 июля 2013 г. N 65н" 39 3 06 00000 Основное мероприятие "Организация и осуществление внешнего контроля качества работы аудиторских организаций, проводящих обязательный аудит бухгалтерской (финансовой) отчетности организаций, определенных действующим законодательством";</w:t>
      </w:r>
    </w:p>
    <w:sectPr w:rsidR="00721DF5" w:rsidRPr="0000792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18B8" w:rsidRDefault="004B18B8" w:rsidP="00DC2A33">
      <w:pPr>
        <w:spacing w:after="0" w:line="240" w:lineRule="auto"/>
      </w:pPr>
      <w:r>
        <w:separator/>
      </w:r>
    </w:p>
  </w:endnote>
  <w:endnote w:type="continuationSeparator" w:id="0">
    <w:p w:rsidR="004B18B8" w:rsidRDefault="004B18B8" w:rsidP="00DC2A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18B8" w:rsidRDefault="004B18B8" w:rsidP="00DC2A33">
      <w:pPr>
        <w:spacing w:after="0" w:line="240" w:lineRule="auto"/>
      </w:pPr>
      <w:r>
        <w:separator/>
      </w:r>
    </w:p>
  </w:footnote>
  <w:footnote w:type="continuationSeparator" w:id="0">
    <w:p w:rsidR="004B18B8" w:rsidRDefault="004B18B8" w:rsidP="00DC2A3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714376"/>
    <w:multiLevelType w:val="hybridMultilevel"/>
    <w:tmpl w:val="4FC6EF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B7E6F94"/>
    <w:multiLevelType w:val="hybridMultilevel"/>
    <w:tmpl w:val="B3C88EB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4A57234D"/>
    <w:multiLevelType w:val="hybridMultilevel"/>
    <w:tmpl w:val="4FC6EFE8"/>
    <w:lvl w:ilvl="0" w:tplc="0419000F">
      <w:start w:val="1"/>
      <w:numFmt w:val="decimal"/>
      <w:lvlText w:val="%1."/>
      <w:lvlJc w:val="left"/>
      <w:pPr>
        <w:ind w:left="7307" w:hanging="360"/>
      </w:pPr>
      <w:rPr>
        <w:rFonts w:hint="default"/>
      </w:rPr>
    </w:lvl>
    <w:lvl w:ilvl="1" w:tplc="04190019" w:tentative="1">
      <w:start w:val="1"/>
      <w:numFmt w:val="lowerLetter"/>
      <w:lvlText w:val="%2."/>
      <w:lvlJc w:val="left"/>
      <w:pPr>
        <w:ind w:left="8027" w:hanging="360"/>
      </w:pPr>
    </w:lvl>
    <w:lvl w:ilvl="2" w:tplc="0419001B" w:tentative="1">
      <w:start w:val="1"/>
      <w:numFmt w:val="lowerRoman"/>
      <w:lvlText w:val="%3."/>
      <w:lvlJc w:val="right"/>
      <w:pPr>
        <w:ind w:left="8747" w:hanging="180"/>
      </w:pPr>
    </w:lvl>
    <w:lvl w:ilvl="3" w:tplc="0419000F" w:tentative="1">
      <w:start w:val="1"/>
      <w:numFmt w:val="decimal"/>
      <w:lvlText w:val="%4."/>
      <w:lvlJc w:val="left"/>
      <w:pPr>
        <w:ind w:left="9467" w:hanging="360"/>
      </w:pPr>
    </w:lvl>
    <w:lvl w:ilvl="4" w:tplc="04190019" w:tentative="1">
      <w:start w:val="1"/>
      <w:numFmt w:val="lowerLetter"/>
      <w:lvlText w:val="%5."/>
      <w:lvlJc w:val="left"/>
      <w:pPr>
        <w:ind w:left="10187" w:hanging="360"/>
      </w:pPr>
    </w:lvl>
    <w:lvl w:ilvl="5" w:tplc="0419001B" w:tentative="1">
      <w:start w:val="1"/>
      <w:numFmt w:val="lowerRoman"/>
      <w:lvlText w:val="%6."/>
      <w:lvlJc w:val="right"/>
      <w:pPr>
        <w:ind w:left="10907" w:hanging="180"/>
      </w:pPr>
    </w:lvl>
    <w:lvl w:ilvl="6" w:tplc="0419000F" w:tentative="1">
      <w:start w:val="1"/>
      <w:numFmt w:val="decimal"/>
      <w:lvlText w:val="%7."/>
      <w:lvlJc w:val="left"/>
      <w:pPr>
        <w:ind w:left="11627" w:hanging="360"/>
      </w:pPr>
    </w:lvl>
    <w:lvl w:ilvl="7" w:tplc="04190019" w:tentative="1">
      <w:start w:val="1"/>
      <w:numFmt w:val="lowerLetter"/>
      <w:lvlText w:val="%8."/>
      <w:lvlJc w:val="left"/>
      <w:pPr>
        <w:ind w:left="12347" w:hanging="360"/>
      </w:pPr>
    </w:lvl>
    <w:lvl w:ilvl="8" w:tplc="0419001B" w:tentative="1">
      <w:start w:val="1"/>
      <w:numFmt w:val="lowerRoman"/>
      <w:lvlText w:val="%9."/>
      <w:lvlJc w:val="right"/>
      <w:pPr>
        <w:ind w:left="13067" w:hanging="180"/>
      </w:pPr>
    </w:lvl>
  </w:abstractNum>
  <w:abstractNum w:abstractNumId="3" w15:restartNumberingAfterBreak="0">
    <w:nsid w:val="545E4EDE"/>
    <w:multiLevelType w:val="hybridMultilevel"/>
    <w:tmpl w:val="4FC6EFE8"/>
    <w:lvl w:ilvl="0" w:tplc="0419000F">
      <w:start w:val="1"/>
      <w:numFmt w:val="decimal"/>
      <w:lvlText w:val="%1."/>
      <w:lvlJc w:val="left"/>
      <w:pPr>
        <w:ind w:left="7307" w:hanging="360"/>
      </w:pPr>
      <w:rPr>
        <w:rFonts w:hint="default"/>
      </w:rPr>
    </w:lvl>
    <w:lvl w:ilvl="1" w:tplc="04190019" w:tentative="1">
      <w:start w:val="1"/>
      <w:numFmt w:val="lowerLetter"/>
      <w:lvlText w:val="%2."/>
      <w:lvlJc w:val="left"/>
      <w:pPr>
        <w:ind w:left="8027" w:hanging="360"/>
      </w:pPr>
    </w:lvl>
    <w:lvl w:ilvl="2" w:tplc="0419001B" w:tentative="1">
      <w:start w:val="1"/>
      <w:numFmt w:val="lowerRoman"/>
      <w:lvlText w:val="%3."/>
      <w:lvlJc w:val="right"/>
      <w:pPr>
        <w:ind w:left="8747" w:hanging="180"/>
      </w:pPr>
    </w:lvl>
    <w:lvl w:ilvl="3" w:tplc="0419000F" w:tentative="1">
      <w:start w:val="1"/>
      <w:numFmt w:val="decimal"/>
      <w:lvlText w:val="%4."/>
      <w:lvlJc w:val="left"/>
      <w:pPr>
        <w:ind w:left="9467" w:hanging="360"/>
      </w:pPr>
    </w:lvl>
    <w:lvl w:ilvl="4" w:tplc="04190019" w:tentative="1">
      <w:start w:val="1"/>
      <w:numFmt w:val="lowerLetter"/>
      <w:lvlText w:val="%5."/>
      <w:lvlJc w:val="left"/>
      <w:pPr>
        <w:ind w:left="10187" w:hanging="360"/>
      </w:pPr>
    </w:lvl>
    <w:lvl w:ilvl="5" w:tplc="0419001B" w:tentative="1">
      <w:start w:val="1"/>
      <w:numFmt w:val="lowerRoman"/>
      <w:lvlText w:val="%6."/>
      <w:lvlJc w:val="right"/>
      <w:pPr>
        <w:ind w:left="10907" w:hanging="180"/>
      </w:pPr>
    </w:lvl>
    <w:lvl w:ilvl="6" w:tplc="0419000F" w:tentative="1">
      <w:start w:val="1"/>
      <w:numFmt w:val="decimal"/>
      <w:lvlText w:val="%7."/>
      <w:lvlJc w:val="left"/>
      <w:pPr>
        <w:ind w:left="11627" w:hanging="360"/>
      </w:pPr>
    </w:lvl>
    <w:lvl w:ilvl="7" w:tplc="04190019" w:tentative="1">
      <w:start w:val="1"/>
      <w:numFmt w:val="lowerLetter"/>
      <w:lvlText w:val="%8."/>
      <w:lvlJc w:val="left"/>
      <w:pPr>
        <w:ind w:left="12347" w:hanging="360"/>
      </w:pPr>
    </w:lvl>
    <w:lvl w:ilvl="8" w:tplc="0419001B" w:tentative="1">
      <w:start w:val="1"/>
      <w:numFmt w:val="lowerRoman"/>
      <w:lvlText w:val="%9."/>
      <w:lvlJc w:val="right"/>
      <w:pPr>
        <w:ind w:left="13067" w:hanging="180"/>
      </w:pPr>
    </w:lvl>
  </w:abstractNum>
  <w:abstractNum w:abstractNumId="4" w15:restartNumberingAfterBreak="0">
    <w:nsid w:val="62C31B03"/>
    <w:multiLevelType w:val="hybridMultilevel"/>
    <w:tmpl w:val="0D9C58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0954233"/>
    <w:multiLevelType w:val="hybridMultilevel"/>
    <w:tmpl w:val="7AE6684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9561C5A"/>
    <w:multiLevelType w:val="hybridMultilevel"/>
    <w:tmpl w:val="BFD60D5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5"/>
  </w:num>
  <w:num w:numId="2">
    <w:abstractNumId w:val="4"/>
  </w:num>
  <w:num w:numId="3">
    <w:abstractNumId w:val="3"/>
  </w:num>
  <w:num w:numId="4">
    <w:abstractNumId w:val="0"/>
  </w:num>
  <w:num w:numId="5">
    <w:abstractNumId w:val="6"/>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7214"/>
    <w:rsid w:val="00007920"/>
    <w:rsid w:val="00013A49"/>
    <w:rsid w:val="00045780"/>
    <w:rsid w:val="00064C2E"/>
    <w:rsid w:val="000840D0"/>
    <w:rsid w:val="000C55BB"/>
    <w:rsid w:val="000E189C"/>
    <w:rsid w:val="000E7EEA"/>
    <w:rsid w:val="0011101F"/>
    <w:rsid w:val="00122412"/>
    <w:rsid w:val="0012738E"/>
    <w:rsid w:val="00132118"/>
    <w:rsid w:val="00136825"/>
    <w:rsid w:val="00152C4D"/>
    <w:rsid w:val="00153641"/>
    <w:rsid w:val="00164AB3"/>
    <w:rsid w:val="00165B89"/>
    <w:rsid w:val="001B672B"/>
    <w:rsid w:val="002141E0"/>
    <w:rsid w:val="00224B15"/>
    <w:rsid w:val="00264DDA"/>
    <w:rsid w:val="0027344A"/>
    <w:rsid w:val="00283FB7"/>
    <w:rsid w:val="002971A3"/>
    <w:rsid w:val="002C4236"/>
    <w:rsid w:val="002D6BE0"/>
    <w:rsid w:val="002E2899"/>
    <w:rsid w:val="00324E10"/>
    <w:rsid w:val="0033224D"/>
    <w:rsid w:val="00350F5F"/>
    <w:rsid w:val="00351B94"/>
    <w:rsid w:val="00363F87"/>
    <w:rsid w:val="003654D0"/>
    <w:rsid w:val="003704CE"/>
    <w:rsid w:val="00392430"/>
    <w:rsid w:val="003F59D0"/>
    <w:rsid w:val="003F6E3D"/>
    <w:rsid w:val="003F7569"/>
    <w:rsid w:val="0042533A"/>
    <w:rsid w:val="004261B1"/>
    <w:rsid w:val="004633EB"/>
    <w:rsid w:val="00474907"/>
    <w:rsid w:val="004A10CC"/>
    <w:rsid w:val="004A7BF6"/>
    <w:rsid w:val="004A7C94"/>
    <w:rsid w:val="004B18B8"/>
    <w:rsid w:val="004C68A9"/>
    <w:rsid w:val="004E4EF0"/>
    <w:rsid w:val="00516C7C"/>
    <w:rsid w:val="005324AF"/>
    <w:rsid w:val="00541950"/>
    <w:rsid w:val="00550FA6"/>
    <w:rsid w:val="005F0401"/>
    <w:rsid w:val="006240B0"/>
    <w:rsid w:val="006265F7"/>
    <w:rsid w:val="0062672F"/>
    <w:rsid w:val="00633FD4"/>
    <w:rsid w:val="0064548E"/>
    <w:rsid w:val="00645E3E"/>
    <w:rsid w:val="0065228D"/>
    <w:rsid w:val="006643DF"/>
    <w:rsid w:val="00672E45"/>
    <w:rsid w:val="00693E1C"/>
    <w:rsid w:val="006A15FF"/>
    <w:rsid w:val="006A5C14"/>
    <w:rsid w:val="006D1C50"/>
    <w:rsid w:val="006D242F"/>
    <w:rsid w:val="00713A0F"/>
    <w:rsid w:val="0071532E"/>
    <w:rsid w:val="00721DF5"/>
    <w:rsid w:val="00730FD9"/>
    <w:rsid w:val="00751F7E"/>
    <w:rsid w:val="00761A78"/>
    <w:rsid w:val="00770EFC"/>
    <w:rsid w:val="00795B06"/>
    <w:rsid w:val="007B3629"/>
    <w:rsid w:val="007B60D0"/>
    <w:rsid w:val="007C66A3"/>
    <w:rsid w:val="00847214"/>
    <w:rsid w:val="00847A2B"/>
    <w:rsid w:val="00863F2D"/>
    <w:rsid w:val="00896D36"/>
    <w:rsid w:val="008A1C5A"/>
    <w:rsid w:val="008A5936"/>
    <w:rsid w:val="008B0DEC"/>
    <w:rsid w:val="008B1086"/>
    <w:rsid w:val="008C341A"/>
    <w:rsid w:val="008D5C7C"/>
    <w:rsid w:val="0090741E"/>
    <w:rsid w:val="00934EC8"/>
    <w:rsid w:val="00934EF9"/>
    <w:rsid w:val="00970C92"/>
    <w:rsid w:val="009C69FE"/>
    <w:rsid w:val="009D2F7D"/>
    <w:rsid w:val="009D75F1"/>
    <w:rsid w:val="009F3C8A"/>
    <w:rsid w:val="009F6F39"/>
    <w:rsid w:val="00A109BD"/>
    <w:rsid w:val="00A31DC6"/>
    <w:rsid w:val="00A62225"/>
    <w:rsid w:val="00A640EB"/>
    <w:rsid w:val="00A82FC5"/>
    <w:rsid w:val="00A83A01"/>
    <w:rsid w:val="00A91918"/>
    <w:rsid w:val="00A957C5"/>
    <w:rsid w:val="00AA0993"/>
    <w:rsid w:val="00AA1494"/>
    <w:rsid w:val="00AA39F6"/>
    <w:rsid w:val="00AA4630"/>
    <w:rsid w:val="00AC2322"/>
    <w:rsid w:val="00AD1F09"/>
    <w:rsid w:val="00AF1675"/>
    <w:rsid w:val="00AF1890"/>
    <w:rsid w:val="00B01CF2"/>
    <w:rsid w:val="00B57EE8"/>
    <w:rsid w:val="00BB0314"/>
    <w:rsid w:val="00BD27C5"/>
    <w:rsid w:val="00C0575E"/>
    <w:rsid w:val="00C06C3B"/>
    <w:rsid w:val="00C11D4E"/>
    <w:rsid w:val="00C35D8C"/>
    <w:rsid w:val="00C60200"/>
    <w:rsid w:val="00C64B6B"/>
    <w:rsid w:val="00C75671"/>
    <w:rsid w:val="00CC2AE3"/>
    <w:rsid w:val="00CC5A32"/>
    <w:rsid w:val="00CE14F8"/>
    <w:rsid w:val="00D139A2"/>
    <w:rsid w:val="00D268A0"/>
    <w:rsid w:val="00D321AF"/>
    <w:rsid w:val="00D328DA"/>
    <w:rsid w:val="00D424A4"/>
    <w:rsid w:val="00D7394D"/>
    <w:rsid w:val="00D84FF0"/>
    <w:rsid w:val="00DB11A7"/>
    <w:rsid w:val="00DB4A68"/>
    <w:rsid w:val="00DB7B8F"/>
    <w:rsid w:val="00DC2A33"/>
    <w:rsid w:val="00E048ED"/>
    <w:rsid w:val="00E2236C"/>
    <w:rsid w:val="00E2790C"/>
    <w:rsid w:val="00E438A5"/>
    <w:rsid w:val="00E5354D"/>
    <w:rsid w:val="00E67390"/>
    <w:rsid w:val="00E84266"/>
    <w:rsid w:val="00EB324F"/>
    <w:rsid w:val="00ED5422"/>
    <w:rsid w:val="00EF40FC"/>
    <w:rsid w:val="00F04239"/>
    <w:rsid w:val="00F04731"/>
    <w:rsid w:val="00F077CC"/>
    <w:rsid w:val="00F178DA"/>
    <w:rsid w:val="00F405C1"/>
    <w:rsid w:val="00F46B74"/>
    <w:rsid w:val="00F47DE2"/>
    <w:rsid w:val="00F71F75"/>
    <w:rsid w:val="00F8526D"/>
    <w:rsid w:val="00F87AEC"/>
    <w:rsid w:val="00F9289F"/>
    <w:rsid w:val="00FB0B8A"/>
    <w:rsid w:val="00FB346E"/>
    <w:rsid w:val="00FD43C7"/>
    <w:rsid w:val="00FE7D0E"/>
    <w:rsid w:val="00FF07DC"/>
    <w:rsid w:val="00FF27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681424C-1CF0-434A-9821-00203B1A3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4">
    <w:name w:val="heading 4"/>
    <w:basedOn w:val="a"/>
    <w:link w:val="40"/>
    <w:uiPriority w:val="9"/>
    <w:qFormat/>
    <w:rsid w:val="0090741E"/>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847214"/>
    <w:rPr>
      <w:color w:val="0000FF" w:themeColor="hyperlink"/>
      <w:u w:val="single"/>
    </w:rPr>
  </w:style>
  <w:style w:type="paragraph" w:styleId="a4">
    <w:name w:val="Balloon Text"/>
    <w:basedOn w:val="a"/>
    <w:link w:val="a5"/>
    <w:uiPriority w:val="99"/>
    <w:semiHidden/>
    <w:unhideWhenUsed/>
    <w:rsid w:val="00847214"/>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847214"/>
    <w:rPr>
      <w:rFonts w:ascii="Tahoma" w:hAnsi="Tahoma" w:cs="Tahoma"/>
      <w:sz w:val="16"/>
      <w:szCs w:val="16"/>
    </w:rPr>
  </w:style>
  <w:style w:type="paragraph" w:styleId="a6">
    <w:name w:val="header"/>
    <w:basedOn w:val="a"/>
    <w:link w:val="a7"/>
    <w:uiPriority w:val="99"/>
    <w:unhideWhenUsed/>
    <w:rsid w:val="00DC2A33"/>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DC2A33"/>
  </w:style>
  <w:style w:type="paragraph" w:styleId="a8">
    <w:name w:val="footer"/>
    <w:basedOn w:val="a"/>
    <w:link w:val="a9"/>
    <w:uiPriority w:val="99"/>
    <w:unhideWhenUsed/>
    <w:rsid w:val="00DC2A33"/>
    <w:pPr>
      <w:tabs>
        <w:tab w:val="center" w:pos="4677"/>
        <w:tab w:val="right" w:pos="9355"/>
      </w:tabs>
      <w:spacing w:after="0" w:line="240" w:lineRule="auto"/>
    </w:pPr>
  </w:style>
  <w:style w:type="character" w:customStyle="1" w:styleId="a9">
    <w:name w:val="Нижний колонтитул Знак"/>
    <w:basedOn w:val="a0"/>
    <w:link w:val="a8"/>
    <w:uiPriority w:val="99"/>
    <w:rsid w:val="00DC2A33"/>
  </w:style>
  <w:style w:type="paragraph" w:customStyle="1" w:styleId="2909F619802848F09E01365C32F34654">
    <w:name w:val="2909F619802848F09E01365C32F34654"/>
    <w:rsid w:val="00DC2A33"/>
    <w:rPr>
      <w:rFonts w:eastAsiaTheme="minorEastAsia"/>
      <w:lang w:eastAsia="ru-RU"/>
    </w:rPr>
  </w:style>
  <w:style w:type="character" w:customStyle="1" w:styleId="40">
    <w:name w:val="Заголовок 4 Знак"/>
    <w:basedOn w:val="a0"/>
    <w:link w:val="4"/>
    <w:uiPriority w:val="9"/>
    <w:rsid w:val="0090741E"/>
    <w:rPr>
      <w:rFonts w:ascii="Times New Roman" w:eastAsia="Times New Roman" w:hAnsi="Times New Roman" w:cs="Times New Roman"/>
      <w:b/>
      <w:bCs/>
      <w:sz w:val="24"/>
      <w:szCs w:val="24"/>
      <w:lang w:eastAsia="ru-RU"/>
    </w:rPr>
  </w:style>
  <w:style w:type="table" w:styleId="aa">
    <w:name w:val="Table Grid"/>
    <w:basedOn w:val="a1"/>
    <w:uiPriority w:val="59"/>
    <w:rsid w:val="009074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0"/>
    <w:uiPriority w:val="99"/>
    <w:semiHidden/>
    <w:unhideWhenUsed/>
    <w:rsid w:val="00064C2E"/>
    <w:rPr>
      <w:color w:val="800080" w:themeColor="followedHyperlink"/>
      <w:u w:val="single"/>
    </w:rPr>
  </w:style>
  <w:style w:type="character" w:styleId="ac">
    <w:name w:val="Strong"/>
    <w:basedOn w:val="a0"/>
    <w:uiPriority w:val="22"/>
    <w:qFormat/>
    <w:rsid w:val="00863F2D"/>
    <w:rPr>
      <w:b/>
      <w:bCs/>
    </w:rPr>
  </w:style>
  <w:style w:type="character" w:customStyle="1" w:styleId="apple-converted-space">
    <w:name w:val="apple-converted-space"/>
    <w:basedOn w:val="a0"/>
    <w:rsid w:val="008B1086"/>
  </w:style>
  <w:style w:type="paragraph" w:styleId="ad">
    <w:name w:val="List Paragraph"/>
    <w:basedOn w:val="a"/>
    <w:uiPriority w:val="34"/>
    <w:qFormat/>
    <w:rsid w:val="00721DF5"/>
    <w:pPr>
      <w:ind w:left="720"/>
      <w:contextualSpacing/>
    </w:pPr>
  </w:style>
  <w:style w:type="character" w:customStyle="1" w:styleId="hilight">
    <w:name w:val="hilight"/>
    <w:basedOn w:val="a0"/>
    <w:rsid w:val="004253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297281">
      <w:bodyDiv w:val="1"/>
      <w:marLeft w:val="0"/>
      <w:marRight w:val="0"/>
      <w:marTop w:val="0"/>
      <w:marBottom w:val="0"/>
      <w:divBdr>
        <w:top w:val="none" w:sz="0" w:space="0" w:color="auto"/>
        <w:left w:val="none" w:sz="0" w:space="0" w:color="auto"/>
        <w:bottom w:val="none" w:sz="0" w:space="0" w:color="auto"/>
        <w:right w:val="none" w:sz="0" w:space="0" w:color="auto"/>
      </w:divBdr>
      <w:divsChild>
        <w:div w:id="1789012168">
          <w:marLeft w:val="0"/>
          <w:marRight w:val="0"/>
          <w:marTop w:val="0"/>
          <w:marBottom w:val="0"/>
          <w:divBdr>
            <w:top w:val="single" w:sz="6" w:space="3" w:color="E6E6E6"/>
            <w:left w:val="single" w:sz="6" w:space="2" w:color="E6E6E6"/>
            <w:bottom w:val="single" w:sz="6" w:space="3" w:color="E6E6E6"/>
            <w:right w:val="single" w:sz="6" w:space="2" w:color="E6E6E6"/>
          </w:divBdr>
        </w:div>
        <w:div w:id="552160548">
          <w:marLeft w:val="0"/>
          <w:marRight w:val="0"/>
          <w:marTop w:val="0"/>
          <w:marBottom w:val="0"/>
          <w:divBdr>
            <w:top w:val="single" w:sz="6" w:space="3" w:color="E6E6E6"/>
            <w:left w:val="single" w:sz="6" w:space="2" w:color="E6E6E6"/>
            <w:bottom w:val="single" w:sz="6" w:space="3" w:color="E6E6E6"/>
            <w:right w:val="single" w:sz="6" w:space="2" w:color="E6E6E6"/>
          </w:divBdr>
        </w:div>
        <w:div w:id="2072340851">
          <w:marLeft w:val="0"/>
          <w:marRight w:val="0"/>
          <w:marTop w:val="0"/>
          <w:marBottom w:val="0"/>
          <w:divBdr>
            <w:top w:val="single" w:sz="6" w:space="3" w:color="E6E6E6"/>
            <w:left w:val="single" w:sz="6" w:space="2" w:color="E6E6E6"/>
            <w:bottom w:val="single" w:sz="6" w:space="3" w:color="E6E6E6"/>
            <w:right w:val="single" w:sz="6" w:space="2" w:color="E6E6E6"/>
          </w:divBdr>
        </w:div>
        <w:div w:id="2138840478">
          <w:marLeft w:val="0"/>
          <w:marRight w:val="0"/>
          <w:marTop w:val="0"/>
          <w:marBottom w:val="0"/>
          <w:divBdr>
            <w:top w:val="single" w:sz="6" w:space="3" w:color="E6E6E6"/>
            <w:left w:val="single" w:sz="6" w:space="2" w:color="E6E6E6"/>
            <w:bottom w:val="single" w:sz="6" w:space="3" w:color="E6E6E6"/>
            <w:right w:val="single" w:sz="6" w:space="2" w:color="E6E6E6"/>
          </w:divBdr>
        </w:div>
        <w:div w:id="1513496427">
          <w:marLeft w:val="0"/>
          <w:marRight w:val="0"/>
          <w:marTop w:val="0"/>
          <w:marBottom w:val="0"/>
          <w:divBdr>
            <w:top w:val="single" w:sz="6" w:space="3" w:color="E6E6E6"/>
            <w:left w:val="single" w:sz="6" w:space="2" w:color="E6E6E6"/>
            <w:bottom w:val="single" w:sz="6" w:space="3" w:color="E6E6E6"/>
            <w:right w:val="single" w:sz="6" w:space="2" w:color="E6E6E6"/>
          </w:divBdr>
        </w:div>
        <w:div w:id="1444957172">
          <w:marLeft w:val="0"/>
          <w:marRight w:val="0"/>
          <w:marTop w:val="0"/>
          <w:marBottom w:val="0"/>
          <w:divBdr>
            <w:top w:val="single" w:sz="6" w:space="3" w:color="E6E6E6"/>
            <w:left w:val="single" w:sz="6" w:space="2" w:color="E6E6E6"/>
            <w:bottom w:val="single" w:sz="6" w:space="3" w:color="E6E6E6"/>
            <w:right w:val="single" w:sz="6" w:space="2" w:color="E6E6E6"/>
          </w:divBdr>
        </w:div>
        <w:div w:id="2031640744">
          <w:marLeft w:val="0"/>
          <w:marRight w:val="0"/>
          <w:marTop w:val="0"/>
          <w:marBottom w:val="0"/>
          <w:divBdr>
            <w:top w:val="single" w:sz="6" w:space="3" w:color="E6E6E6"/>
            <w:left w:val="single" w:sz="6" w:space="2" w:color="E6E6E6"/>
            <w:bottom w:val="single" w:sz="6" w:space="3" w:color="E6E6E6"/>
            <w:right w:val="single" w:sz="6" w:space="2" w:color="E6E6E6"/>
          </w:divBdr>
        </w:div>
      </w:divsChild>
    </w:div>
    <w:div w:id="1241408324">
      <w:bodyDiv w:val="1"/>
      <w:marLeft w:val="0"/>
      <w:marRight w:val="0"/>
      <w:marTop w:val="0"/>
      <w:marBottom w:val="0"/>
      <w:divBdr>
        <w:top w:val="none" w:sz="0" w:space="0" w:color="auto"/>
        <w:left w:val="none" w:sz="0" w:space="0" w:color="auto"/>
        <w:bottom w:val="none" w:sz="0" w:space="0" w:color="auto"/>
        <w:right w:val="none" w:sz="0" w:space="0" w:color="auto"/>
      </w:divBdr>
    </w:div>
    <w:div w:id="1294288338">
      <w:bodyDiv w:val="1"/>
      <w:marLeft w:val="0"/>
      <w:marRight w:val="0"/>
      <w:marTop w:val="0"/>
      <w:marBottom w:val="0"/>
      <w:divBdr>
        <w:top w:val="none" w:sz="0" w:space="0" w:color="auto"/>
        <w:left w:val="none" w:sz="0" w:space="0" w:color="auto"/>
        <w:bottom w:val="none" w:sz="0" w:space="0" w:color="auto"/>
        <w:right w:val="none" w:sz="0" w:space="0" w:color="auto"/>
      </w:divBdr>
      <w:divsChild>
        <w:div w:id="2029746346">
          <w:marLeft w:val="0"/>
          <w:marRight w:val="0"/>
          <w:marTop w:val="0"/>
          <w:marBottom w:val="0"/>
          <w:divBdr>
            <w:top w:val="single" w:sz="6" w:space="3" w:color="E6E6E6"/>
            <w:left w:val="single" w:sz="6" w:space="2" w:color="E6E6E6"/>
            <w:bottom w:val="single" w:sz="6" w:space="3" w:color="E6E6E6"/>
            <w:right w:val="single" w:sz="6" w:space="2" w:color="E6E6E6"/>
          </w:divBdr>
        </w:div>
        <w:div w:id="793400882">
          <w:marLeft w:val="0"/>
          <w:marRight w:val="0"/>
          <w:marTop w:val="0"/>
          <w:marBottom w:val="0"/>
          <w:divBdr>
            <w:top w:val="single" w:sz="6" w:space="3" w:color="E6E6E6"/>
            <w:left w:val="single" w:sz="6" w:space="2" w:color="E6E6E6"/>
            <w:bottom w:val="single" w:sz="6" w:space="3" w:color="E6E6E6"/>
            <w:right w:val="single" w:sz="6" w:space="2" w:color="E6E6E6"/>
          </w:divBdr>
        </w:div>
        <w:div w:id="1675255464">
          <w:marLeft w:val="0"/>
          <w:marRight w:val="0"/>
          <w:marTop w:val="0"/>
          <w:marBottom w:val="0"/>
          <w:divBdr>
            <w:top w:val="single" w:sz="6" w:space="3" w:color="E6E6E6"/>
            <w:left w:val="single" w:sz="6" w:space="2" w:color="E6E6E6"/>
            <w:bottom w:val="single" w:sz="6" w:space="3" w:color="E6E6E6"/>
            <w:right w:val="single" w:sz="6" w:space="2" w:color="E6E6E6"/>
          </w:divBdr>
        </w:div>
        <w:div w:id="1936789936">
          <w:marLeft w:val="0"/>
          <w:marRight w:val="0"/>
          <w:marTop w:val="0"/>
          <w:marBottom w:val="0"/>
          <w:divBdr>
            <w:top w:val="single" w:sz="6" w:space="3" w:color="E6E6E6"/>
            <w:left w:val="single" w:sz="6" w:space="2" w:color="E6E6E6"/>
            <w:bottom w:val="single" w:sz="6" w:space="3" w:color="E6E6E6"/>
            <w:right w:val="single" w:sz="6" w:space="2" w:color="E6E6E6"/>
          </w:divBdr>
        </w:div>
        <w:div w:id="681511208">
          <w:marLeft w:val="0"/>
          <w:marRight w:val="0"/>
          <w:marTop w:val="0"/>
          <w:marBottom w:val="0"/>
          <w:divBdr>
            <w:top w:val="single" w:sz="6" w:space="3" w:color="E6E6E6"/>
            <w:left w:val="single" w:sz="6" w:space="2" w:color="E6E6E6"/>
            <w:bottom w:val="single" w:sz="6" w:space="3" w:color="E6E6E6"/>
            <w:right w:val="single" w:sz="6" w:space="2" w:color="E6E6E6"/>
          </w:divBdr>
        </w:div>
        <w:div w:id="1056709054">
          <w:marLeft w:val="0"/>
          <w:marRight w:val="0"/>
          <w:marTop w:val="0"/>
          <w:marBottom w:val="0"/>
          <w:divBdr>
            <w:top w:val="single" w:sz="6" w:space="3" w:color="E6E6E6"/>
            <w:left w:val="single" w:sz="6" w:space="2" w:color="E6E6E6"/>
            <w:bottom w:val="single" w:sz="6" w:space="3" w:color="E6E6E6"/>
            <w:right w:val="single" w:sz="6" w:space="2" w:color="E6E6E6"/>
          </w:divBdr>
        </w:div>
        <w:div w:id="398211438">
          <w:marLeft w:val="0"/>
          <w:marRight w:val="0"/>
          <w:marTop w:val="0"/>
          <w:marBottom w:val="0"/>
          <w:divBdr>
            <w:top w:val="single" w:sz="6" w:space="3" w:color="E6E6E6"/>
            <w:left w:val="single" w:sz="6" w:space="2" w:color="E6E6E6"/>
            <w:bottom w:val="single" w:sz="6" w:space="3" w:color="E6E6E6"/>
            <w:right w:val="single" w:sz="6" w:space="2" w:color="E6E6E6"/>
          </w:divBdr>
        </w:div>
        <w:div w:id="1125661198">
          <w:marLeft w:val="0"/>
          <w:marRight w:val="0"/>
          <w:marTop w:val="0"/>
          <w:marBottom w:val="0"/>
          <w:divBdr>
            <w:top w:val="single" w:sz="6" w:space="3" w:color="E6E6E6"/>
            <w:left w:val="single" w:sz="6" w:space="2" w:color="E6E6E6"/>
            <w:bottom w:val="single" w:sz="6" w:space="3" w:color="E6E6E6"/>
            <w:right w:val="single" w:sz="6" w:space="2" w:color="E6E6E6"/>
          </w:divBdr>
        </w:div>
      </w:divsChild>
    </w:div>
    <w:div w:id="1327854692">
      <w:bodyDiv w:val="1"/>
      <w:marLeft w:val="0"/>
      <w:marRight w:val="0"/>
      <w:marTop w:val="0"/>
      <w:marBottom w:val="0"/>
      <w:divBdr>
        <w:top w:val="none" w:sz="0" w:space="0" w:color="auto"/>
        <w:left w:val="none" w:sz="0" w:space="0" w:color="auto"/>
        <w:bottom w:val="none" w:sz="0" w:space="0" w:color="auto"/>
        <w:right w:val="none" w:sz="0" w:space="0" w:color="auto"/>
      </w:divBdr>
      <w:divsChild>
        <w:div w:id="1465541753">
          <w:marLeft w:val="0"/>
          <w:marRight w:val="0"/>
          <w:marTop w:val="0"/>
          <w:marBottom w:val="0"/>
          <w:divBdr>
            <w:top w:val="none" w:sz="0" w:space="0" w:color="auto"/>
            <w:left w:val="none" w:sz="0" w:space="0" w:color="auto"/>
            <w:bottom w:val="none" w:sz="0" w:space="0" w:color="auto"/>
            <w:right w:val="none" w:sz="0" w:space="0" w:color="auto"/>
          </w:divBdr>
        </w:div>
        <w:div w:id="1067075294">
          <w:marLeft w:val="0"/>
          <w:marRight w:val="0"/>
          <w:marTop w:val="0"/>
          <w:marBottom w:val="0"/>
          <w:divBdr>
            <w:top w:val="none" w:sz="0" w:space="0" w:color="auto"/>
            <w:left w:val="none" w:sz="0" w:space="0" w:color="auto"/>
            <w:bottom w:val="none" w:sz="0" w:space="0" w:color="auto"/>
            <w:right w:val="none" w:sz="0" w:space="0" w:color="auto"/>
          </w:divBdr>
          <w:divsChild>
            <w:div w:id="1094276844">
              <w:marLeft w:val="0"/>
              <w:marRight w:val="0"/>
              <w:marTop w:val="120"/>
              <w:marBottom w:val="120"/>
              <w:divBdr>
                <w:top w:val="none" w:sz="0" w:space="0" w:color="auto"/>
                <w:left w:val="none" w:sz="0" w:space="0" w:color="auto"/>
                <w:bottom w:val="none" w:sz="0" w:space="0" w:color="auto"/>
                <w:right w:val="none" w:sz="0" w:space="0" w:color="auto"/>
              </w:divBdr>
              <w:divsChild>
                <w:div w:id="856239772">
                  <w:marLeft w:val="0"/>
                  <w:marRight w:val="150"/>
                  <w:marTop w:val="0"/>
                  <w:marBottom w:val="0"/>
                  <w:divBdr>
                    <w:top w:val="none" w:sz="0" w:space="0" w:color="auto"/>
                    <w:left w:val="none" w:sz="0" w:space="0" w:color="auto"/>
                    <w:bottom w:val="none" w:sz="0" w:space="0" w:color="auto"/>
                    <w:right w:val="none" w:sz="0" w:space="0" w:color="auto"/>
                  </w:divBdr>
                  <w:divsChild>
                    <w:div w:id="211890194">
                      <w:marLeft w:val="0"/>
                      <w:marRight w:val="0"/>
                      <w:marTop w:val="0"/>
                      <w:marBottom w:val="0"/>
                      <w:divBdr>
                        <w:top w:val="none" w:sz="0" w:space="0" w:color="auto"/>
                        <w:left w:val="none" w:sz="0" w:space="0" w:color="auto"/>
                        <w:bottom w:val="none" w:sz="0" w:space="0" w:color="auto"/>
                        <w:right w:val="none" w:sz="0" w:space="0" w:color="auto"/>
                      </w:divBdr>
                    </w:div>
                  </w:divsChild>
                </w:div>
                <w:div w:id="1484664190">
                  <w:marLeft w:val="0"/>
                  <w:marRight w:val="0"/>
                  <w:marTop w:val="0"/>
                  <w:marBottom w:val="0"/>
                  <w:divBdr>
                    <w:top w:val="none" w:sz="0" w:space="0" w:color="auto"/>
                    <w:left w:val="none" w:sz="0" w:space="0" w:color="auto"/>
                    <w:bottom w:val="none" w:sz="0" w:space="0" w:color="auto"/>
                    <w:right w:val="none" w:sz="0" w:space="0" w:color="auto"/>
                  </w:divBdr>
                  <w:divsChild>
                    <w:div w:id="879047171">
                      <w:marLeft w:val="0"/>
                      <w:marRight w:val="0"/>
                      <w:marTop w:val="0"/>
                      <w:marBottom w:val="0"/>
                      <w:divBdr>
                        <w:top w:val="single" w:sz="6" w:space="3" w:color="E6E6E6"/>
                        <w:left w:val="single" w:sz="6" w:space="2" w:color="E6E6E6"/>
                        <w:bottom w:val="single" w:sz="6" w:space="3" w:color="E6E6E6"/>
                        <w:right w:val="single" w:sz="6" w:space="2" w:color="E6E6E6"/>
                      </w:divBdr>
                    </w:div>
                    <w:div w:id="1054541654">
                      <w:marLeft w:val="0"/>
                      <w:marRight w:val="0"/>
                      <w:marTop w:val="0"/>
                      <w:marBottom w:val="0"/>
                      <w:divBdr>
                        <w:top w:val="single" w:sz="6" w:space="3" w:color="E6E6E6"/>
                        <w:left w:val="single" w:sz="6" w:space="2" w:color="E6E6E6"/>
                        <w:bottom w:val="single" w:sz="6" w:space="3" w:color="E6E6E6"/>
                        <w:right w:val="single" w:sz="6" w:space="2" w:color="E6E6E6"/>
                      </w:divBdr>
                    </w:div>
                    <w:div w:id="1865363218">
                      <w:marLeft w:val="0"/>
                      <w:marRight w:val="0"/>
                      <w:marTop w:val="0"/>
                      <w:marBottom w:val="0"/>
                      <w:divBdr>
                        <w:top w:val="single" w:sz="6" w:space="3" w:color="E6E6E6"/>
                        <w:left w:val="single" w:sz="6" w:space="2" w:color="E6E6E6"/>
                        <w:bottom w:val="single" w:sz="6" w:space="3" w:color="E6E6E6"/>
                        <w:right w:val="single" w:sz="6" w:space="2" w:color="E6E6E6"/>
                      </w:divBdr>
                    </w:div>
                    <w:div w:id="1693528056">
                      <w:marLeft w:val="0"/>
                      <w:marRight w:val="0"/>
                      <w:marTop w:val="0"/>
                      <w:marBottom w:val="0"/>
                      <w:divBdr>
                        <w:top w:val="single" w:sz="6" w:space="3" w:color="E6E6E6"/>
                        <w:left w:val="single" w:sz="6" w:space="2" w:color="E6E6E6"/>
                        <w:bottom w:val="single" w:sz="6" w:space="3" w:color="E6E6E6"/>
                        <w:right w:val="single" w:sz="6" w:space="2" w:color="E6E6E6"/>
                      </w:divBdr>
                    </w:div>
                    <w:div w:id="1647934977">
                      <w:marLeft w:val="0"/>
                      <w:marRight w:val="0"/>
                      <w:marTop w:val="0"/>
                      <w:marBottom w:val="0"/>
                      <w:divBdr>
                        <w:top w:val="single" w:sz="6" w:space="3" w:color="E6E6E6"/>
                        <w:left w:val="single" w:sz="6" w:space="2" w:color="E6E6E6"/>
                        <w:bottom w:val="single" w:sz="6" w:space="3" w:color="E6E6E6"/>
                        <w:right w:val="single" w:sz="6" w:space="2" w:color="E6E6E6"/>
                      </w:divBdr>
                    </w:div>
                    <w:div w:id="442574235">
                      <w:marLeft w:val="0"/>
                      <w:marRight w:val="0"/>
                      <w:marTop w:val="0"/>
                      <w:marBottom w:val="0"/>
                      <w:divBdr>
                        <w:top w:val="single" w:sz="6" w:space="3" w:color="E6E6E6"/>
                        <w:left w:val="single" w:sz="6" w:space="2" w:color="E6E6E6"/>
                        <w:bottom w:val="single" w:sz="6" w:space="3" w:color="E6E6E6"/>
                        <w:right w:val="single" w:sz="6" w:space="2" w:color="E6E6E6"/>
                      </w:divBdr>
                    </w:div>
                    <w:div w:id="998188127">
                      <w:marLeft w:val="0"/>
                      <w:marRight w:val="0"/>
                      <w:marTop w:val="0"/>
                      <w:marBottom w:val="0"/>
                      <w:divBdr>
                        <w:top w:val="single" w:sz="6" w:space="3" w:color="E6E6E6"/>
                        <w:left w:val="single" w:sz="6" w:space="2" w:color="E6E6E6"/>
                        <w:bottom w:val="single" w:sz="6" w:space="3" w:color="E6E6E6"/>
                        <w:right w:val="single" w:sz="6" w:space="2" w:color="E6E6E6"/>
                      </w:divBdr>
                    </w:div>
                    <w:div w:id="1426683551">
                      <w:marLeft w:val="0"/>
                      <w:marRight w:val="0"/>
                      <w:marTop w:val="0"/>
                      <w:marBottom w:val="0"/>
                      <w:divBdr>
                        <w:top w:val="single" w:sz="6" w:space="3" w:color="E6E6E6"/>
                        <w:left w:val="single" w:sz="6" w:space="2" w:color="E6E6E6"/>
                        <w:bottom w:val="single" w:sz="6" w:space="3" w:color="E6E6E6"/>
                        <w:right w:val="single" w:sz="6" w:space="2" w:color="E6E6E6"/>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g"/><Relationship Id="rId3" Type="http://schemas.openxmlformats.org/officeDocument/2006/relationships/settings" Target="settings.xml"/><Relationship Id="rId7" Type="http://schemas.openxmlformats.org/officeDocument/2006/relationships/hyperlink" Target="http://www.lib.unn.ru/" TargetMode="External"/><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rait.ru" TargetMode="External"/><Relationship Id="rId5" Type="http://schemas.openxmlformats.org/officeDocument/2006/relationships/footnotes" Target="footnotes.xml"/><Relationship Id="rId15" Type="http://schemas.openxmlformats.org/officeDocument/2006/relationships/image" Target="media/image7.jpg"/><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6.jp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7</Pages>
  <Words>675</Words>
  <Characters>3851</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dc:creator>
  <cp:lastModifiedBy>Рокунова Ольга Васильевна</cp:lastModifiedBy>
  <cp:revision>17</cp:revision>
  <cp:lastPrinted>2017-05-22T12:02:00Z</cp:lastPrinted>
  <dcterms:created xsi:type="dcterms:W3CDTF">2022-10-08T13:21:00Z</dcterms:created>
  <dcterms:modified xsi:type="dcterms:W3CDTF">2022-10-08T13:47:00Z</dcterms:modified>
</cp:coreProperties>
</file>