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176" w:type="dxa"/>
        <w:tblLook w:val="00A0" w:firstRow="1" w:lastRow="0" w:firstColumn="1" w:lastColumn="0" w:noHBand="0" w:noVBand="0"/>
      </w:tblPr>
      <w:tblGrid>
        <w:gridCol w:w="9923"/>
      </w:tblGrid>
      <w:tr w:rsidR="00645E3E" w:rsidRPr="0022247F" w:rsidTr="00645E3E">
        <w:tc>
          <w:tcPr>
            <w:tcW w:w="9923" w:type="dxa"/>
          </w:tcPr>
          <w:p w:rsidR="00645E3E" w:rsidRPr="0022247F" w:rsidRDefault="00645E3E" w:rsidP="00645E3E">
            <w:pPr>
              <w:tabs>
                <w:tab w:val="center" w:pos="4677"/>
                <w:tab w:val="right" w:pos="9355"/>
              </w:tabs>
              <w:spacing w:before="40" w:after="40"/>
              <w:jc w:val="center"/>
              <w:rPr>
                <w:rFonts w:ascii="Times New Roman" w:hAnsi="Times New Roman"/>
                <w:b/>
                <w:smallCaps/>
              </w:rPr>
            </w:pPr>
            <w:r w:rsidRPr="0022247F">
              <w:rPr>
                <w:rFonts w:ascii="Times New Roman" w:hAnsi="Times New Roman"/>
                <w:b/>
                <w:smallCaps/>
              </w:rPr>
              <w:t>МИНИСТЕРСТВО НАУКИ И ВЫСШЕГО ОБРАЗОВАНИЯ РФ</w:t>
            </w:r>
          </w:p>
        </w:tc>
      </w:tr>
      <w:tr w:rsidR="00645E3E" w:rsidRPr="0022247F" w:rsidTr="00645E3E">
        <w:tc>
          <w:tcPr>
            <w:tcW w:w="9923" w:type="dxa"/>
            <w:hideMark/>
          </w:tcPr>
          <w:p w:rsidR="009F3C8A" w:rsidRDefault="00645E3E" w:rsidP="00645E3E">
            <w:pPr>
              <w:tabs>
                <w:tab w:val="center" w:pos="4677"/>
                <w:tab w:val="right" w:pos="9355"/>
              </w:tabs>
              <w:spacing w:before="40" w:after="40"/>
              <w:jc w:val="center"/>
              <w:rPr>
                <w:rFonts w:ascii="Times New Roman" w:hAnsi="Times New Roman"/>
                <w:b/>
                <w:smallCaps/>
              </w:rPr>
            </w:pPr>
            <w:r w:rsidRPr="0022247F">
              <w:rPr>
                <w:rFonts w:ascii="Times New Roman" w:hAnsi="Times New Roman"/>
                <w:b/>
                <w:smallCaps/>
              </w:rPr>
              <w:t>Федеральное государственное автономное образовательное учреждение</w:t>
            </w:r>
          </w:p>
          <w:p w:rsidR="00645E3E" w:rsidRDefault="00645E3E" w:rsidP="00645E3E">
            <w:pPr>
              <w:tabs>
                <w:tab w:val="center" w:pos="4677"/>
                <w:tab w:val="right" w:pos="9355"/>
              </w:tabs>
              <w:spacing w:before="40" w:after="40"/>
              <w:jc w:val="center"/>
              <w:rPr>
                <w:rFonts w:ascii="Times New Roman" w:hAnsi="Times New Roman"/>
                <w:b/>
                <w:smallCaps/>
              </w:rPr>
            </w:pPr>
            <w:r w:rsidRPr="0022247F">
              <w:rPr>
                <w:rFonts w:ascii="Times New Roman" w:hAnsi="Times New Roman"/>
                <w:b/>
                <w:smallCaps/>
              </w:rPr>
              <w:t>высшего образования</w:t>
            </w:r>
          </w:p>
          <w:p w:rsidR="00645E3E" w:rsidRPr="0022247F" w:rsidRDefault="00645E3E" w:rsidP="00645E3E">
            <w:pPr>
              <w:tabs>
                <w:tab w:val="center" w:pos="4677"/>
                <w:tab w:val="right" w:pos="9355"/>
              </w:tabs>
              <w:spacing w:before="40" w:after="40"/>
              <w:jc w:val="center"/>
              <w:rPr>
                <w:rFonts w:ascii="Times New Roman" w:hAnsi="Times New Roman"/>
                <w:b/>
                <w:smallCaps/>
                <w:sz w:val="24"/>
                <w:szCs w:val="24"/>
              </w:rPr>
            </w:pPr>
            <w:r w:rsidRPr="0022247F">
              <w:rPr>
                <w:rFonts w:ascii="Times New Roman" w:hAnsi="Times New Roman"/>
                <w:b/>
                <w:smallCaps/>
              </w:rPr>
              <w:t>«Национальный исследовательский Нижегородский государственный университет им. Н.И. Лобачевского»</w:t>
            </w:r>
          </w:p>
        </w:tc>
      </w:tr>
    </w:tbl>
    <w:p w:rsidR="00F04239" w:rsidRDefault="00F04239">
      <w:pPr>
        <w:rPr>
          <w:rFonts w:ascii="Times New Roman" w:hAnsi="Times New Roman" w:cs="Times New Roman"/>
          <w:b/>
          <w:sz w:val="28"/>
          <w:szCs w:val="28"/>
        </w:rPr>
      </w:pPr>
    </w:p>
    <w:p w:rsidR="00F04239" w:rsidRPr="00645E3E" w:rsidRDefault="00645E3E" w:rsidP="00645E3E">
      <w:pPr>
        <w:autoSpaceDE w:val="0"/>
        <w:autoSpaceDN w:val="0"/>
        <w:spacing w:after="0" w:line="360" w:lineRule="auto"/>
        <w:jc w:val="center"/>
        <w:rPr>
          <w:rFonts w:ascii="Times New Roman" w:hAnsi="Times New Roman"/>
          <w:b/>
          <w:bCs/>
          <w:sz w:val="24"/>
          <w:szCs w:val="24"/>
        </w:rPr>
      </w:pPr>
      <w:r w:rsidRPr="00645E3E">
        <w:rPr>
          <w:rFonts w:ascii="Times New Roman" w:hAnsi="Times New Roman"/>
          <w:b/>
          <w:bCs/>
          <w:sz w:val="24"/>
          <w:szCs w:val="24"/>
        </w:rPr>
        <w:t>Институт экономики</w:t>
      </w:r>
    </w:p>
    <w:p w:rsidR="00F04239" w:rsidRPr="00645E3E" w:rsidRDefault="00645E3E" w:rsidP="00645E3E">
      <w:pPr>
        <w:autoSpaceDE w:val="0"/>
        <w:autoSpaceDN w:val="0"/>
        <w:spacing w:after="0" w:line="360" w:lineRule="auto"/>
        <w:jc w:val="center"/>
        <w:rPr>
          <w:rFonts w:ascii="Times New Roman" w:hAnsi="Times New Roman"/>
          <w:b/>
          <w:bCs/>
          <w:sz w:val="24"/>
          <w:szCs w:val="24"/>
        </w:rPr>
      </w:pPr>
      <w:r w:rsidRPr="00645E3E">
        <w:rPr>
          <w:rFonts w:ascii="Times New Roman" w:hAnsi="Times New Roman"/>
          <w:b/>
          <w:bCs/>
          <w:sz w:val="24"/>
          <w:szCs w:val="24"/>
        </w:rPr>
        <w:t>Кафедра финансов и кредита</w:t>
      </w:r>
    </w:p>
    <w:p w:rsidR="00F04239" w:rsidRDefault="00F04239" w:rsidP="00F04239">
      <w:pPr>
        <w:autoSpaceDE w:val="0"/>
        <w:autoSpaceDN w:val="0"/>
        <w:jc w:val="center"/>
        <w:rPr>
          <w:rFonts w:ascii="Times New Roman" w:hAnsi="Times New Roman"/>
          <w:b/>
          <w:bCs/>
          <w:sz w:val="36"/>
          <w:szCs w:val="36"/>
        </w:rPr>
      </w:pPr>
    </w:p>
    <w:p w:rsidR="004C68A9" w:rsidRDefault="004C68A9" w:rsidP="00F04239">
      <w:pPr>
        <w:autoSpaceDE w:val="0"/>
        <w:autoSpaceDN w:val="0"/>
        <w:jc w:val="center"/>
        <w:rPr>
          <w:rFonts w:ascii="Times New Roman" w:hAnsi="Times New Roman"/>
          <w:b/>
          <w:bCs/>
          <w:sz w:val="36"/>
          <w:szCs w:val="36"/>
        </w:rPr>
      </w:pPr>
    </w:p>
    <w:p w:rsidR="004C68A9" w:rsidRDefault="004C68A9" w:rsidP="00F04239">
      <w:pPr>
        <w:autoSpaceDE w:val="0"/>
        <w:autoSpaceDN w:val="0"/>
        <w:jc w:val="center"/>
        <w:rPr>
          <w:rFonts w:ascii="Times New Roman" w:hAnsi="Times New Roman"/>
          <w:b/>
          <w:bCs/>
          <w:sz w:val="36"/>
          <w:szCs w:val="36"/>
        </w:rPr>
      </w:pPr>
    </w:p>
    <w:p w:rsidR="00F04239" w:rsidRPr="00EC63EA" w:rsidRDefault="00F178DA" w:rsidP="00F04239">
      <w:pPr>
        <w:autoSpaceDE w:val="0"/>
        <w:autoSpaceDN w:val="0"/>
        <w:jc w:val="center"/>
        <w:rPr>
          <w:rFonts w:ascii="Times New Roman" w:hAnsi="Times New Roman"/>
          <w:b/>
          <w:bCs/>
          <w:sz w:val="36"/>
          <w:szCs w:val="36"/>
        </w:rPr>
      </w:pPr>
      <w:r>
        <w:rPr>
          <w:rFonts w:ascii="Times New Roman" w:hAnsi="Times New Roman"/>
          <w:b/>
          <w:bCs/>
          <w:sz w:val="36"/>
          <w:szCs w:val="36"/>
        </w:rPr>
        <w:t>Отчет</w:t>
      </w:r>
    </w:p>
    <w:p w:rsidR="00F04239" w:rsidRDefault="0062672F" w:rsidP="00C35D8C">
      <w:pPr>
        <w:jc w:val="center"/>
        <w:rPr>
          <w:rFonts w:ascii="Times New Roman" w:hAnsi="Times New Roman" w:cs="Times New Roman"/>
          <w:b/>
          <w:sz w:val="28"/>
          <w:szCs w:val="28"/>
        </w:rPr>
      </w:pPr>
      <w:r>
        <w:rPr>
          <w:rFonts w:ascii="Times New Roman" w:hAnsi="Times New Roman" w:cs="Times New Roman"/>
          <w:b/>
          <w:sz w:val="28"/>
          <w:szCs w:val="28"/>
        </w:rPr>
        <w:t>п</w:t>
      </w:r>
      <w:r w:rsidR="00264DDA">
        <w:rPr>
          <w:rFonts w:ascii="Times New Roman" w:hAnsi="Times New Roman" w:cs="Times New Roman"/>
          <w:b/>
          <w:sz w:val="28"/>
          <w:szCs w:val="28"/>
        </w:rPr>
        <w:t>о дисциплине «</w:t>
      </w:r>
      <w:r w:rsidR="00C35D8C">
        <w:rPr>
          <w:rFonts w:ascii="Times New Roman" w:hAnsi="Times New Roman" w:cs="Times New Roman"/>
          <w:b/>
          <w:sz w:val="28"/>
          <w:szCs w:val="28"/>
        </w:rPr>
        <w:t>Справочные информационные системы</w:t>
      </w:r>
      <w:r w:rsidR="00264DDA">
        <w:rPr>
          <w:rFonts w:ascii="Times New Roman" w:hAnsi="Times New Roman" w:cs="Times New Roman"/>
          <w:b/>
          <w:sz w:val="28"/>
          <w:szCs w:val="28"/>
        </w:rPr>
        <w:t>»</w:t>
      </w:r>
    </w:p>
    <w:p w:rsidR="00F178DA" w:rsidRDefault="00F178DA" w:rsidP="00F178DA">
      <w:pPr>
        <w:ind w:firstLine="567"/>
        <w:jc w:val="center"/>
        <w:rPr>
          <w:rFonts w:ascii="Times New Roman" w:hAnsi="Times New Roman" w:cs="Times New Roman"/>
          <w:b/>
          <w:sz w:val="28"/>
          <w:szCs w:val="28"/>
        </w:rPr>
      </w:pPr>
    </w:p>
    <w:p w:rsidR="00F178DA" w:rsidRDefault="00F178DA" w:rsidP="00F178DA">
      <w:pPr>
        <w:ind w:firstLine="567"/>
        <w:jc w:val="center"/>
        <w:rPr>
          <w:rFonts w:ascii="Times New Roman" w:hAnsi="Times New Roman" w:cs="Times New Roman"/>
          <w:b/>
          <w:sz w:val="28"/>
          <w:szCs w:val="28"/>
        </w:rPr>
      </w:pPr>
    </w:p>
    <w:p w:rsidR="0062672F" w:rsidRDefault="0062672F" w:rsidP="00F178DA">
      <w:pPr>
        <w:ind w:firstLine="567"/>
        <w:jc w:val="center"/>
        <w:rPr>
          <w:rFonts w:ascii="Times New Roman" w:hAnsi="Times New Roman" w:cs="Times New Roman"/>
          <w:b/>
          <w:sz w:val="28"/>
          <w:szCs w:val="28"/>
        </w:rPr>
      </w:pPr>
    </w:p>
    <w:p w:rsidR="004C68A9" w:rsidRDefault="004C68A9" w:rsidP="00F178DA">
      <w:pPr>
        <w:ind w:firstLine="567"/>
        <w:jc w:val="center"/>
        <w:rPr>
          <w:rFonts w:ascii="Times New Roman" w:hAnsi="Times New Roman" w:cs="Times New Roman"/>
          <w:b/>
          <w:sz w:val="28"/>
          <w:szCs w:val="28"/>
        </w:rPr>
      </w:pPr>
    </w:p>
    <w:p w:rsidR="0062672F" w:rsidRDefault="0062672F" w:rsidP="00F178DA">
      <w:pPr>
        <w:ind w:firstLine="567"/>
        <w:jc w:val="center"/>
        <w:rPr>
          <w:rFonts w:ascii="Times New Roman" w:hAnsi="Times New Roman" w:cs="Times New Roman"/>
          <w:b/>
          <w:sz w:val="28"/>
          <w:szCs w:val="28"/>
        </w:rPr>
      </w:pPr>
    </w:p>
    <w:p w:rsidR="0062672F" w:rsidRDefault="0062672F" w:rsidP="00F178DA">
      <w:pPr>
        <w:ind w:firstLine="567"/>
        <w:jc w:val="center"/>
        <w:rPr>
          <w:rFonts w:ascii="Times New Roman" w:hAnsi="Times New Roman" w:cs="Times New Roman"/>
          <w:b/>
          <w:sz w:val="28"/>
          <w:szCs w:val="28"/>
        </w:rPr>
      </w:pPr>
    </w:p>
    <w:p w:rsidR="0062672F" w:rsidRPr="0062672F" w:rsidRDefault="0062672F" w:rsidP="0062672F">
      <w:pPr>
        <w:ind w:left="5103" w:firstLine="5"/>
        <w:rPr>
          <w:rFonts w:ascii="Times New Roman" w:hAnsi="Times New Roman" w:cs="Times New Roman"/>
          <w:sz w:val="28"/>
          <w:szCs w:val="28"/>
        </w:rPr>
      </w:pPr>
      <w:r w:rsidRPr="0062672F">
        <w:rPr>
          <w:rFonts w:ascii="Times New Roman" w:hAnsi="Times New Roman" w:cs="Times New Roman"/>
          <w:sz w:val="28"/>
          <w:szCs w:val="28"/>
        </w:rPr>
        <w:t>Выполнил студент:</w:t>
      </w:r>
    </w:p>
    <w:p w:rsidR="00F178DA" w:rsidRPr="009F3C8A" w:rsidRDefault="009F3C8A" w:rsidP="0062672F">
      <w:pPr>
        <w:ind w:left="5103" w:firstLine="5"/>
        <w:rPr>
          <w:rFonts w:ascii="Times New Roman" w:hAnsi="Times New Roman" w:cs="Times New Roman"/>
          <w:sz w:val="28"/>
          <w:szCs w:val="28"/>
        </w:rPr>
      </w:pPr>
      <w:r w:rsidRPr="009F3C8A">
        <w:rPr>
          <w:rFonts w:ascii="Times New Roman" w:hAnsi="Times New Roman" w:cs="Times New Roman"/>
          <w:sz w:val="28"/>
          <w:szCs w:val="28"/>
        </w:rPr>
        <w:t>3 курс, группа 3524Б6ЭКэп1, Сомов Н.В.</w:t>
      </w:r>
    </w:p>
    <w:p w:rsidR="0062672F" w:rsidRPr="0062672F" w:rsidRDefault="0062672F" w:rsidP="0062672F">
      <w:pPr>
        <w:ind w:left="5103" w:firstLine="5"/>
        <w:rPr>
          <w:rFonts w:ascii="Times New Roman" w:hAnsi="Times New Roman" w:cs="Times New Roman"/>
          <w:sz w:val="28"/>
          <w:szCs w:val="28"/>
        </w:rPr>
      </w:pPr>
      <w:r w:rsidRPr="0062672F">
        <w:rPr>
          <w:rFonts w:ascii="Times New Roman" w:hAnsi="Times New Roman" w:cs="Times New Roman"/>
          <w:sz w:val="28"/>
          <w:szCs w:val="28"/>
        </w:rPr>
        <w:t>Проверил: к.э.н. Рокунова О.В.</w:t>
      </w:r>
    </w:p>
    <w:p w:rsidR="00F178DA" w:rsidRDefault="00F178DA" w:rsidP="00847214">
      <w:pPr>
        <w:ind w:firstLine="567"/>
        <w:rPr>
          <w:rFonts w:ascii="Times New Roman" w:hAnsi="Times New Roman" w:cs="Times New Roman"/>
          <w:b/>
          <w:sz w:val="28"/>
          <w:szCs w:val="28"/>
        </w:rPr>
      </w:pPr>
    </w:p>
    <w:p w:rsidR="00F178DA" w:rsidRDefault="00F178DA" w:rsidP="00847214">
      <w:pPr>
        <w:ind w:firstLine="567"/>
        <w:rPr>
          <w:rFonts w:ascii="Times New Roman" w:hAnsi="Times New Roman" w:cs="Times New Roman"/>
          <w:b/>
          <w:sz w:val="28"/>
          <w:szCs w:val="28"/>
        </w:rPr>
      </w:pPr>
    </w:p>
    <w:p w:rsidR="009F3C8A" w:rsidRDefault="00F04239" w:rsidP="00F04239">
      <w:pPr>
        <w:autoSpaceDE w:val="0"/>
        <w:autoSpaceDN w:val="0"/>
        <w:spacing w:after="120"/>
        <w:jc w:val="center"/>
        <w:rPr>
          <w:rFonts w:ascii="Times New Roman" w:hAnsi="Times New Roman"/>
          <w:sz w:val="28"/>
          <w:szCs w:val="28"/>
        </w:rPr>
      </w:pPr>
      <w:r w:rsidRPr="00E72861">
        <w:rPr>
          <w:rFonts w:ascii="Times New Roman" w:hAnsi="Times New Roman"/>
          <w:sz w:val="28"/>
          <w:szCs w:val="28"/>
        </w:rPr>
        <w:t>Нижний Новгород</w:t>
      </w:r>
      <w:r>
        <w:rPr>
          <w:rFonts w:ascii="Times New Roman" w:hAnsi="Times New Roman"/>
          <w:sz w:val="28"/>
          <w:szCs w:val="28"/>
        </w:rPr>
        <w:t>,</w:t>
      </w:r>
    </w:p>
    <w:p w:rsidR="00A31DC6" w:rsidRDefault="00F04239" w:rsidP="00F04239">
      <w:pPr>
        <w:autoSpaceDE w:val="0"/>
        <w:autoSpaceDN w:val="0"/>
        <w:spacing w:after="120"/>
        <w:jc w:val="center"/>
        <w:rPr>
          <w:rFonts w:ascii="Times New Roman" w:hAnsi="Times New Roman"/>
          <w:sz w:val="28"/>
          <w:szCs w:val="28"/>
        </w:rPr>
      </w:pPr>
      <w:r>
        <w:rPr>
          <w:rFonts w:ascii="Times New Roman" w:hAnsi="Times New Roman"/>
          <w:sz w:val="28"/>
          <w:szCs w:val="28"/>
        </w:rPr>
        <w:t xml:space="preserve"> 2026</w:t>
      </w:r>
    </w:p>
    <w:p w:rsidR="00A31DC6" w:rsidRDefault="00A31DC6">
      <w:pPr>
        <w:rPr>
          <w:rFonts w:ascii="Times New Roman" w:hAnsi="Times New Roman"/>
          <w:sz w:val="28"/>
          <w:szCs w:val="28"/>
        </w:rPr>
      </w:pPr>
      <w:r>
        <w:rPr>
          <w:rFonts w:ascii="Times New Roman" w:hAnsi="Times New Roman"/>
          <w:sz w:val="28"/>
          <w:szCs w:val="28"/>
        </w:rPr>
        <w:br w:type="page"/>
      </w:r>
    </w:p>
    <w:p w:rsidR="004C68A9" w:rsidRDefault="00A31DC6" w:rsidP="004C68A9">
      <w:pPr>
        <w:autoSpaceDE w:val="0"/>
        <w:autoSpaceDN w:val="0"/>
        <w:jc w:val="center"/>
        <w:rPr>
          <w:rFonts w:ascii="Times New Roman" w:hAnsi="Times New Roman"/>
          <w:b/>
          <w:bCs/>
          <w:sz w:val="36"/>
          <w:szCs w:val="36"/>
        </w:rPr>
      </w:pPr>
      <w:r>
        <w:rPr>
          <w:rFonts w:ascii="Times New Roman" w:hAnsi="Times New Roman"/>
          <w:b/>
          <w:bCs/>
          <w:sz w:val="36"/>
          <w:szCs w:val="36"/>
        </w:rPr>
        <w:t>Поиск документов в справочных правовых системах КонсультантПлюс и ГАРАНТ (задание 3.3)</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 каждому из восьми вопросов документы с ответом найдены в двух системах: КонсультантПлюс (некоммерческая интернет-версия, https://www.consultant.ru/cons/cgi/online.cgi) и ГАРАНТ (интернет-версия, https://ivo.garant.ru). Поиск вёлся Быстрым поиском по формулировке вопроса с последующим отбором нормативных документов в разделе «Законодательство».</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Работа выполнена в двух версиях системы. Поиск документов и фрагменты текстов с ответами взяты из некоммерческой интернет-версии КонсультантПлюс: в ней доступен полный объём нормативных актов и писем ведомств. Закладки и папки созданы в авторизованной системе «КонсультантПлюс: Студент» (student2.consultant.ru) — она работает под учётной записью пользователя, поэтому в ней доступны Избранное, закладки, папки и документы на контроле. В интернет-версии ГАРАНТа комплект документов ограничен, поэтому по ней приводятся результаты поиска.</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Задание 1. Можно ли получить социальный налоговый вычет по расходам на лечение, если отсутствует рецепт на покупку лекарства, выданный врачом?</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КонсультантПлюс.</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n1_1_list.png"/>
                    <pic:cNvPicPr/>
                  </pic:nvPicPr>
                  <pic:blipFill>
                    <a:blip r:embed="rId18"/>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1.1. КонсультантПлюс. Результат поиска в разделе «Законодательство»</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 name="Picture 2"/>
            <wp:cNvGraphicFramePr>
              <a:graphicFrameLocks noChangeAspect="1"/>
            </wp:cNvGraphicFramePr>
            <a:graphic>
              <a:graphicData uri="http://schemas.openxmlformats.org/drawingml/2006/picture">
                <pic:pic>
                  <pic:nvPicPr>
                    <pic:cNvPr id="0" name="n1_2_doc.png"/>
                    <pic:cNvPicPr/>
                  </pic:nvPicPr>
                  <pic:blipFill>
                    <a:blip r:embed="rId19"/>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1.2. КонсультантПлюс. Найденный документ</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Найденный документ: &lt;Письмо&gt; ФНС России от 17.08.2020 N СД-4-11/13227@ «О налогообложении физических лиц» (вместе с &lt;Письмами&gt; Минфина России). Информационный банк «Российское законодательство (Версия Проф)».</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Фрагмент документа с ответом на вопрос:</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«…без учета иных установленных условий в целях получения социального налогового вычета требуется, чтобы лекарственные препараты для медицинского применения были назначены налогоплательщику лечащим врачом, а также приобретены налогоплательщиком за счет собственных средств. Для реализации своих прав налогоплательщиком могут быть представлены любые документы, оформленные в соответствии с законодательством Российской Федерации и подтверждающие назначение налогоплательщику лечащим врачом приобретенных за счет собственных средств лекарственных препаратов для медицинского применения, а также произведенные расходы.</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При этом сообщаем, что в случае, если в установленном порядке назначение лечащим врачом лекарственных препаратов оформляется с использованием рецептурных бланков, то налогоплательщиком в целях получения социального налогового вычета в качестве подтверждающих документов представляется любой такой рецептурный бланк, оформленный медицинским работником, а также платежные документы (в частности, кассовый чек) из аптечных организаций…»</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«В тех случаях, когда назначение лекарственных препаратов не оформляется на рецептурном бланке, вместо него в качестве подтверждения фактических расходов налогоплательщика на приобретение лекарственных препаратов для медицинского применения возможно использование сведений из медицинской документации пациента.»</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Ответ. Да, вычет получить можно. Обязательным является не сам рецептурный бланк, а факт назначения лекарственного препарата лечащим врачом. Если назначение по установленному порядку оформляется на рецептурном бланке, представляется этот бланк вместе с платёжными документами из аптеки. Если же назначение на бланке не оформляется, вместо рецепта расходы подтверждаются сведениями из медицинской документации пациента — Минфин и ФНС прямо допускают это в приведённом письме.</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Закладка «задание 1» в одноимённой папке (система «КонсультантПлюс: Студент»).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33_t1_dialog.png"/>
                    <pic:cNvPicPr/>
                  </pic:nvPicPr>
                  <pic:blipFill>
                    <a:blip r:embed="rId20"/>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1.4. Создание закладки «задание 1» и выбор папки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ГАРАНТ.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4" name="Picture 4"/>
            <wp:cNvGraphicFramePr>
              <a:graphicFrameLocks noChangeAspect="1"/>
            </wp:cNvGraphicFramePr>
            <a:graphic>
              <a:graphicData uri="http://schemas.openxmlformats.org/drawingml/2006/picture">
                <pic:pic>
                  <pic:nvPicPr>
                    <pic:cNvPr id="0" name="g1_1_list.png"/>
                    <pic:cNvPicPr/>
                  </pic:nvPicPr>
                  <pic:blipFill>
                    <a:blip r:embed="rId21"/>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1.3. ГАРАНТ. Результат поиска по тому же вопросу</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Задание 2. Признаки ветхих банкнот. Считается ли банкнота ветхой, если на ней содержится надпись авторучкой?</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КонсультантПлюс.</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5" name="Picture 5"/>
            <wp:cNvGraphicFramePr>
              <a:graphicFrameLocks noChangeAspect="1"/>
            </wp:cNvGraphicFramePr>
            <a:graphic>
              <a:graphicData uri="http://schemas.openxmlformats.org/drawingml/2006/picture">
                <pic:pic>
                  <pic:nvPicPr>
                    <pic:cNvPr id="0" name="n2_1_list.png"/>
                    <pic:cNvPicPr/>
                  </pic:nvPicPr>
                  <pic:blipFill>
                    <a:blip r:embed="rId22"/>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2.1. КонсультантПлюс. Результат поиска в разделе «Законодательство»</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6" name="Picture 6"/>
            <wp:cNvGraphicFramePr>
              <a:graphicFrameLocks noChangeAspect="1"/>
            </wp:cNvGraphicFramePr>
            <a:graphic>
              <a:graphicData uri="http://schemas.openxmlformats.org/drawingml/2006/picture">
                <pic:pic>
                  <pic:nvPicPr>
                    <pic:cNvPr id="0" name="n2_2_doc.png"/>
                    <pic:cNvPicPr/>
                  </pic:nvPicPr>
                  <pic:blipFill>
                    <a:blip r:embed="rId23"/>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2.2. КонсультантПлюс. Указание Банка России от 26.12.2006 N 1778-У</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7" name="Picture 7"/>
            <wp:cNvGraphicFramePr>
              <a:graphicFrameLocks noChangeAspect="1"/>
            </wp:cNvGraphicFramePr>
            <a:graphic>
              <a:graphicData uri="http://schemas.openxmlformats.org/drawingml/2006/picture">
                <pic:pic>
                  <pic:nvPicPr>
                    <pic:cNvPr id="0" name="n2b_doc.png"/>
                    <pic:cNvPicPr/>
                  </pic:nvPicPr>
                  <pic:blipFill>
                    <a:blip r:embed="rId24"/>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2.3. КонсультантПлюс. Положение Банка России от 29.01.2018 N 630-П — перечень признаков ветхих банкнот</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Найденный документ: Указание Банка России от 26.12.2006 N 1778-У (ред. от 22.08.2014) «О признаках платежеспособности и правилах обмена банкнот и монеты Банка России»; Положение Банка России от 29.01.2018 N 630-П (ред. от 15.11.2023) «О порядке ведения кассовых операций и правилах хранения, перевозки и инкассации банкнот и монеты Банка России в кредитных организациях на территории Российской Федерации».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Фрагмент документа с ответом на вопрос:</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Указание N 1778-У, пункт 1: «Платежеспособными являются банкноты и монета Банка России, имеющие силу законного средства наличного платежа на территории Российской Федерации (в том числе изымаемые из обращения), не содержащие признаков подделки, без повреждений или имеющие повреждения следующего характера: 1.1. банкноты Банка России: загрязненные, изношенные, надорванные; имеющие потертости, небольшие отверстия, проколы, посторонние надписи, пятна, оттиски штампов; утратившие углы, края…»</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Положение N 630-П: «Кассовым работником клиентам не должны выдаваться платежеспособная монета Банка России, имеющая повреждения механического, химического или термического характера…, и платежеспособные банкноты Банка России, имеющие одно и более из следующих повреждений (далее — ветхие банкноты Банка России): загрязнение поверхности лицевой и (или) оборотной сторон, приводящее к снижению яркости изображения на 6 процентов и более; постороннюю надпись (посторонние надписи), состоящую из двух и более знаков (символов); посторонний рисунок (посторонние рисунки), оттиск (оттиски) штампа; контрастное пятно (контрастные пятна) диаметром 5 мм и более; разрыв (разрывы)…»</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Ответ. Банкнота с надписью авторучкой остаётся платёжеспособной — посторонние надписи прямо названы в перечне допустимых повреждений (п. 1.1 Указания N 1778-У). Но по Положению N 630-П такая банкнота относится к ветхим, если надпись состоит из двух и более знаков (символов): ветхие банкноты клиентам не выдаются и сдаются в учреждения Банка России. Надпись из одного знака к признакам ветхости не относится.</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Закладка «задание 2» в одноимённой папке (система «КонсультантПлюс: Студент»).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8" name="Picture 8"/>
            <wp:cNvGraphicFramePr>
              <a:graphicFrameLocks noChangeAspect="1"/>
            </wp:cNvGraphicFramePr>
            <a:graphic>
              <a:graphicData uri="http://schemas.openxmlformats.org/drawingml/2006/picture">
                <pic:pic>
                  <pic:nvPicPr>
                    <pic:cNvPr id="0" name="33_t2_dialog.png"/>
                    <pic:cNvPicPr/>
                  </pic:nvPicPr>
                  <pic:blipFill>
                    <a:blip r:embed="rId25"/>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2.5. Создание закладки «задание 2» и выбор папки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ГАРАНТ.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9" name="Picture 9"/>
            <wp:cNvGraphicFramePr>
              <a:graphicFrameLocks noChangeAspect="1"/>
            </wp:cNvGraphicFramePr>
            <a:graphic>
              <a:graphicData uri="http://schemas.openxmlformats.org/drawingml/2006/picture">
                <pic:pic>
                  <pic:nvPicPr>
                    <pic:cNvPr id="0" name="g2_1_list.png"/>
                    <pic:cNvPicPr/>
                  </pic:nvPicPr>
                  <pic:blipFill>
                    <a:blip r:embed="rId26"/>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2.4. ГАРАНТ. Результат поиска по тому же вопросу</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Задание 4. Предоставляется ли вычет по НДФЛ по расходам на обучение за границей (в том числе на дистанционное обучение)?</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КонсультантПлюс.</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0" name="Picture 10"/>
            <wp:cNvGraphicFramePr>
              <a:graphicFrameLocks noChangeAspect="1"/>
            </wp:cNvGraphicFramePr>
            <a:graphic>
              <a:graphicData uri="http://schemas.openxmlformats.org/drawingml/2006/picture">
                <pic:pic>
                  <pic:nvPicPr>
                    <pic:cNvPr id="0" name="n4_1_list.png"/>
                    <pic:cNvPicPr/>
                  </pic:nvPicPr>
                  <pic:blipFill>
                    <a:blip r:embed="rId27"/>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4.1. КонсультантПлюс. Результат поиска в разделе «Законодательство»</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1" name="Picture 11"/>
            <wp:cNvGraphicFramePr>
              <a:graphicFrameLocks noChangeAspect="1"/>
            </wp:cNvGraphicFramePr>
            <a:graphic>
              <a:graphicData uri="http://schemas.openxmlformats.org/drawingml/2006/picture">
                <pic:pic>
                  <pic:nvPicPr>
                    <pic:cNvPr id="0" name="n4_2_doc.png"/>
                    <pic:cNvPicPr/>
                  </pic:nvPicPr>
                  <pic:blipFill>
                    <a:blip r:embed="rId28"/>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4.2. КонсультантПлюс. Налоговый кодекс РФ (часть вторая), статья 219</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Найденный документ: «Налоговый кодекс Российской Федерации (часть вторая)» от 05.08.2000 N 117-ФЗ, подпункт 2 пункта 1 статьи 219.</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Фрагмент документа с ответом на вопрос:</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«Указанный социальный налоговый вычет предоставляется при наличии у организации, осуществляющей образовательную деятельность, индивидуального предпринимателя (за исключением случаев осуществления индивидуальными предпринимателями образовательной деятельности непосредственно) лицензии на осуществление образовательной деятельности или при наличии у иностранной организации документа, подтверждающего статус организации, осуществляющей образовательную деятельность…»</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Ответ. Да, предоставляется. Место нахождения образовательной организации значения не имеет: при обучении за границей вместо лицензии нужен документ иностранной организации, подтверждающий её статус организации, осуществляющей образовательную деятельность. Форма обучения ограничивает вычет только по расходам на обучение детей, подопечных, брата или сестры — там требуется очная форма. По расходам на собственное обучение форма значения не имеет, поэтому вычет возможен и при дистанционном обучении.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Закладка «задание 4» в одноимённой папке (система «КонсультантПлюс: Студент»).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2" name="Picture 12"/>
            <wp:cNvGraphicFramePr>
              <a:graphicFrameLocks noChangeAspect="1"/>
            </wp:cNvGraphicFramePr>
            <a:graphic>
              <a:graphicData uri="http://schemas.openxmlformats.org/drawingml/2006/picture">
                <pic:pic>
                  <pic:nvPicPr>
                    <pic:cNvPr id="0" name="33_t4_dialog.png"/>
                    <pic:cNvPicPr/>
                  </pic:nvPicPr>
                  <pic:blipFill>
                    <a:blip r:embed="rId29"/>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4.4. Создание закладки «задание 4» и выбор папки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ГАРАНТ.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3" name="Picture 13"/>
            <wp:cNvGraphicFramePr>
              <a:graphicFrameLocks noChangeAspect="1"/>
            </wp:cNvGraphicFramePr>
            <a:graphic>
              <a:graphicData uri="http://schemas.openxmlformats.org/drawingml/2006/picture">
                <pic:pic>
                  <pic:nvPicPr>
                    <pic:cNvPr id="0" name="g4_1_list.png"/>
                    <pic:cNvPicPr/>
                  </pic:nvPicPr>
                  <pic:blipFill>
                    <a:blip r:embed="rId30"/>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4.3. ГАРАНТ. Результат поиска по тому же вопросу</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Задание 5. Учитываются ли дни приезда и отъезда иностранного гражданина в Россию при определении количества дней фактического пребывания для целей исчисления НДФЛ?</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КонсультантПлюс.</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4" name="Picture 14"/>
            <wp:cNvGraphicFramePr>
              <a:graphicFrameLocks noChangeAspect="1"/>
            </wp:cNvGraphicFramePr>
            <a:graphic>
              <a:graphicData uri="http://schemas.openxmlformats.org/drawingml/2006/picture">
                <pic:pic>
                  <pic:nvPicPr>
                    <pic:cNvPr id="0" name="n5_1_list.png"/>
                    <pic:cNvPicPr/>
                  </pic:nvPicPr>
                  <pic:blipFill>
                    <a:blip r:embed="rId31"/>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5.1. КонсультантПлюс. Результат поиска в разделе «Законодательство»</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5" name="Picture 15"/>
            <wp:cNvGraphicFramePr>
              <a:graphicFrameLocks noChangeAspect="1"/>
            </wp:cNvGraphicFramePr>
            <a:graphic>
              <a:graphicData uri="http://schemas.openxmlformats.org/drawingml/2006/picture">
                <pic:pic>
                  <pic:nvPicPr>
                    <pic:cNvPr id="0" name="n5_2_doc.png"/>
                    <pic:cNvPicPr/>
                  </pic:nvPicPr>
                  <pic:blipFill>
                    <a:blip r:embed="rId32"/>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5.2. КонсультантПлюс. Найденный документ</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Найденный документ: &lt;Письмо&gt; ФНС РФ от 01.04.2009 N ШС-17-3/72@ «О направлении письма Минфина России» (вместе с &lt;Письмом&gt; Минфина РФ от 27.01.2009 N 03-04-07-01/8).</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Фрагмент документа с ответом на вопрос:</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«Согласно пункту 2 статьи 207 Налогового кодекса Российской Федерации налоговыми резидентами признаются физические лица, фактически находящиеся в Российской Федерации не менее 183 календарных дней в течение 12 следующих подряд месяцев. В связи с этим при определении статуса налогоплательщика для целей исчисления налога на доходы физических лиц следует учитывать фактические дни нахождения физического лица в Российской Федерации.</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Поскольку в день въезда в Российскую Федерацию и в день выезда из Российской Федерации физическое лицо фактически находится в Российской Федерации, полагаем правомерным эти дни учитывать при определении статуса налогоплательщика.»</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Ответ. Да, учитываются. И день въезда в Российскую Федерацию, и день выезда из неё включаются в подсчёт 183 календарных дней, поскольку в эти дни физическое лицо фактически находится на территории России. Применять к этому сроку порядок исчисления сроков по статье 6.1 НК РФ Минфин считает необоснованным.</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Закладка «задание 5» в одноимённой папке (система «КонсультантПлюс: Студент»).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6" name="Picture 16"/>
            <wp:cNvGraphicFramePr>
              <a:graphicFrameLocks noChangeAspect="1"/>
            </wp:cNvGraphicFramePr>
            <a:graphic>
              <a:graphicData uri="http://schemas.openxmlformats.org/drawingml/2006/picture">
                <pic:pic>
                  <pic:nvPicPr>
                    <pic:cNvPr id="0" name="33_t5_dialog.png"/>
                    <pic:cNvPicPr/>
                  </pic:nvPicPr>
                  <pic:blipFill>
                    <a:blip r:embed="rId33"/>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5.4. Создание закладки «задание 5» и выбор папки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ГАРАНТ.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7" name="Picture 17"/>
            <wp:cNvGraphicFramePr>
              <a:graphicFrameLocks noChangeAspect="1"/>
            </wp:cNvGraphicFramePr>
            <a:graphic>
              <a:graphicData uri="http://schemas.openxmlformats.org/drawingml/2006/picture">
                <pic:pic>
                  <pic:nvPicPr>
                    <pic:cNvPr id="0" name="g5_1_list.png"/>
                    <pic:cNvPicPr/>
                  </pic:nvPicPr>
                  <pic:blipFill>
                    <a:blip r:embed="rId34"/>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5.3. ГАРАНТ. Результат поиска по тому же вопросу</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Задание 6. Нужно ли начислять НДС при получении задатка?</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КонсультантПлюс.</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8" name="Picture 18"/>
            <wp:cNvGraphicFramePr>
              <a:graphicFrameLocks noChangeAspect="1"/>
            </wp:cNvGraphicFramePr>
            <a:graphic>
              <a:graphicData uri="http://schemas.openxmlformats.org/drawingml/2006/picture">
                <pic:pic>
                  <pic:nvPicPr>
                    <pic:cNvPr id="0" name="n6_1_list.png"/>
                    <pic:cNvPicPr/>
                  </pic:nvPicPr>
                  <pic:blipFill>
                    <a:blip r:embed="rId35"/>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6.1. КонсультантПлюс. Результат поиска</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19" name="Picture 19"/>
            <wp:cNvGraphicFramePr>
              <a:graphicFrameLocks noChangeAspect="1"/>
            </wp:cNvGraphicFramePr>
            <a:graphic>
              <a:graphicData uri="http://schemas.openxmlformats.org/drawingml/2006/picture">
                <pic:pic>
                  <pic:nvPicPr>
                    <pic:cNvPr id="0" name="n6_2_doc.png"/>
                    <pic:cNvPicPr/>
                  </pic:nvPicPr>
                  <pic:blipFill>
                    <a:blip r:embed="rId36"/>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6.2. КонсультантПлюс. Налоговый кодекс РФ (часть вторая), статья 162</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Найденный документ: «Налоговый кодекс Российской Федерации (часть вторая)» от 05.08.2000 N 117-ФЗ, подпункт 2 пункта 1 статьи 162; подпункт 2 пункта 1 статьи 167.</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Фрагмент документа с ответом на вопрос:</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«1. Налоговая база, определенная в соответствии со статьями 153 - 158 настоящего Кодекса, увеличивается на суммы: … 2) полученных за реализованные товары (работы, услуги) в виде финансовой помощи, на пополнение фондов специального назначения, в счет увеличения доходов либо иначе связанных с оплатой реализованных товаров (работ, услуг)…»</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Ответ. Да, начислять нужно. Задаток выполняет не только обеспечительную, но и платёжную функцию: он засчитывается в счёт причитающихся по договору платежей. Поэтому полученная сумма признаётся связанной с оплатой реализуемых товаров (работ, услуг) и увеличивает налоговую базу по НДС на основании подпункта 2 пункта 1 статьи 162 НК РФ. Кроме того, по подпункту 2 пункта 1 статьи 167 НК РФ моментом определения налоговой базы является в том числе день оплаты (частичной оплаты) в счёт предстоящих поставок, к которой относится и задаток.</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Закладка «задание 6» в одноимённой папке (система «КонсультантПлюс: Студент»).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0" name="Picture 20"/>
            <wp:cNvGraphicFramePr>
              <a:graphicFrameLocks noChangeAspect="1"/>
            </wp:cNvGraphicFramePr>
            <a:graphic>
              <a:graphicData uri="http://schemas.openxmlformats.org/drawingml/2006/picture">
                <pic:pic>
                  <pic:nvPicPr>
                    <pic:cNvPr id="0" name="33_t6_dialog.png"/>
                    <pic:cNvPicPr/>
                  </pic:nvPicPr>
                  <pic:blipFill>
                    <a:blip r:embed="rId37"/>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6.4. Создание закладки «задание 6» и выбор папки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ГАРАНТ.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1" name="Picture 21"/>
            <wp:cNvGraphicFramePr>
              <a:graphicFrameLocks noChangeAspect="1"/>
            </wp:cNvGraphicFramePr>
            <a:graphic>
              <a:graphicData uri="http://schemas.openxmlformats.org/drawingml/2006/picture">
                <pic:pic>
                  <pic:nvPicPr>
                    <pic:cNvPr id="0" name="g6_1_list.png"/>
                    <pic:cNvPicPr/>
                  </pic:nvPicPr>
                  <pic:blipFill>
                    <a:blip r:embed="rId38"/>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6.3. ГАРАНТ. Результат поиска по тому же вопросу</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Задание 7. Облагается ли НДС дарение подарков сотрудникам организации?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КонсультантПлюс.</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2" name="Picture 22"/>
            <wp:cNvGraphicFramePr>
              <a:graphicFrameLocks noChangeAspect="1"/>
            </wp:cNvGraphicFramePr>
            <a:graphic>
              <a:graphicData uri="http://schemas.openxmlformats.org/drawingml/2006/picture">
                <pic:pic>
                  <pic:nvPicPr>
                    <pic:cNvPr id="0" name="n7_1_list.png"/>
                    <pic:cNvPicPr/>
                  </pic:nvPicPr>
                  <pic:blipFill>
                    <a:blip r:embed="rId39"/>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7.1. КонсультантПлюс. Результат поиска в разделе «Законодательство»</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3" name="Picture 23"/>
            <wp:cNvGraphicFramePr>
              <a:graphicFrameLocks noChangeAspect="1"/>
            </wp:cNvGraphicFramePr>
            <a:graphic>
              <a:graphicData uri="http://schemas.openxmlformats.org/drawingml/2006/picture">
                <pic:pic>
                  <pic:nvPicPr>
                    <pic:cNvPr id="0" name="n7_2_doc.png"/>
                    <pic:cNvPicPr/>
                  </pic:nvPicPr>
                  <pic:blipFill>
                    <a:blip r:embed="rId40"/>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7.2. КонсультантПлюс. Найденный документ</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Найденный документ: Письмо Минфина РФ от 31.03.2004 N 04-03-11/52 «О налоге на добавленную стоимость»; подпункт 1 пункта 1 статьи 146 и пункт 1 статьи 154 НК РФ.</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Фрагмент документа с ответом на вопрос:</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«В соответствии с подпунктом 1 пункта 1 статьи 146 главы 21 "Налог на добавленную стоимость" части второй Налогового кодекса Российской Федерации операции по реализации товаров на территории Российской Федерации признаются объектом налогообложения налогом на добавленную стоимость. При этом в целях настоящей главы передача права собственности на товары на безвозмездной основе признается реализацией этих товаров.</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Учитывая изложенное, бесплатная, то есть безвозмездная, передача товаров… подлежит налогообложению налогом на добавленную стоимость в общеустановленном порядке. Одновременно следует отметить, что, согласно пункту 1 статьи 154 Кодекса, налоговая база по налогу на добавленную стоимость в указанном случае определяется исходя из рыночных цен.»</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Ответ. Да, облагается. Передача подарков работникам — это передача права собственности на товары на безвозмездной основе, которая для целей главы 21 НК РФ признаётся реализацией и образует объект налогообложения НДС. Налоговая база определяется исходя из рыночных цен подарков; при этом «входной» НДС по приобретённым подаркам организация вправе принять к вычету в общем порядке.</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Закладка «задание 7» в одноимённой папке (система «КонсультантПлюс: Студент»).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4" name="Picture 24"/>
            <wp:cNvGraphicFramePr>
              <a:graphicFrameLocks noChangeAspect="1"/>
            </wp:cNvGraphicFramePr>
            <a:graphic>
              <a:graphicData uri="http://schemas.openxmlformats.org/drawingml/2006/picture">
                <pic:pic>
                  <pic:nvPicPr>
                    <pic:cNvPr id="0" name="33_t7_dialog.png"/>
                    <pic:cNvPicPr/>
                  </pic:nvPicPr>
                  <pic:blipFill>
                    <a:blip r:embed="rId41"/>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7.4. Создание закладки «задание 7» и выбор папки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ГАРАНТ.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5" name="Picture 25"/>
            <wp:cNvGraphicFramePr>
              <a:graphicFrameLocks noChangeAspect="1"/>
            </wp:cNvGraphicFramePr>
            <a:graphic>
              <a:graphicData uri="http://schemas.openxmlformats.org/drawingml/2006/picture">
                <pic:pic>
                  <pic:nvPicPr>
                    <pic:cNvPr id="0" name="g7_1_list.png"/>
                    <pic:cNvPicPr/>
                  </pic:nvPicPr>
                  <pic:blipFill>
                    <a:blip r:embed="rId42"/>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7.3. ГАРАНТ. Результат поиска по тому же вопросу</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Задание 8. По какой формуле вычисляют среднюю численность работников в целях применения УСН?</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КонсультантПлюс.</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6" name="Picture 26"/>
            <wp:cNvGraphicFramePr>
              <a:graphicFrameLocks noChangeAspect="1"/>
            </wp:cNvGraphicFramePr>
            <a:graphic>
              <a:graphicData uri="http://schemas.openxmlformats.org/drawingml/2006/picture">
                <pic:pic>
                  <pic:nvPicPr>
                    <pic:cNvPr id="0" name="n8_doc.png"/>
                    <pic:cNvPicPr/>
                  </pic:nvPicPr>
                  <pic:blipFill>
                    <a:blip r:embed="rId43"/>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8.1. КонсультантПлюс. Письмо ФНС России о применении УСН — лимиты средней численности</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7" name="Picture 27"/>
            <wp:cNvGraphicFramePr>
              <a:graphicFrameLocks noChangeAspect="1"/>
            </wp:cNvGraphicFramePr>
            <a:graphic>
              <a:graphicData uri="http://schemas.openxmlformats.org/drawingml/2006/picture">
                <pic:pic>
                  <pic:nvPicPr>
                    <pic:cNvPr id="0" name="n8b_doc.png"/>
                    <pic:cNvPicPr/>
                  </pic:nvPicPr>
                  <pic:blipFill>
                    <a:blip r:embed="rId44"/>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8.2. КонсультантПлюс. Приказ Росстата: указания по заполнению статистической формы — расчёт среднесписочной численности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Найденный документ: &lt;Письмо&gt; ФНС России от 14.12.2022 N СД-4-3/16972@ «О порядке исчисления налога, уплачиваемого в связи с применением УСН»; Приказ Росстата от 31.07.2026 N 423 «Об утверждении форм федерального статистического наблюдения и указаний по их заполнению»; подпункт 15 пункта 3 статьи 346.12 и пункт 4 статьи 346.13 НК РФ.</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Фрагмент документа с ответом на вопрос:</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Указания Росстата: «Среднесписочная численность работников за месяц исчисляется путем суммирования списочной численности работников за каждый календарный день месяца, то есть с 1-го по 30-е или 31-е число (для февраля — по 28-е или 29-е число), включая праздничные (нерабочие) и выходные дни, и деления полученной суммы на число календарных дней месяца.»</w:t>
      </w:r>
    </w:p>
    <w:p w:rsidR="004C68A9" w:rsidRPr="00F04239" w:rsidRDefault="00363F87" w:rsidP="004C68A9">
      <w:pPr>
        <w:autoSpaceDE w:val="0"/>
        <w:autoSpaceDN w:val="0"/>
        <w:ind w:firstLine="0" w:left="709"/>
        <w:jc w:val="both"/>
        <w:rPr>
          <w:rFonts w:ascii="Times New Roman" w:hAnsi="Times New Roman"/>
          <w:b/>
          <w:bCs/>
          <w:sz w:val="36"/>
          <w:szCs w:val="36"/>
        </w:rPr>
      </w:pPr>
      <w:r>
        <w:rPr>
          <w:rFonts w:ascii="Times New Roman" w:hAnsi="Times New Roman" w:cs="Times New Roman"/>
          <w:i/>
          <w:sz w:val="28"/>
          <w:szCs w:val="28"/>
        </w:rPr>
        <w:t>Письмо ФНС России N СД-4-3/16972@: «…целью принятия данного закона являлось именно установление повышенных налоговых ставок 8 процентов или 20 процентов для налогоплательщиков, у которых доходы… превысили 150 млн. рублей, но не превысили 200 млн. рублей и (или) в течение которого средняя численность работников налогоплательщика превысила 100 человек, но не превысила 130 человек в целях применения УСН…»</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Ответ. Средняя численность работников за налоговый (отчётный) период определяется по правилам статистического учёта (указания Росстата по заполнению форм) и складывается из трёх величин: среднесписочной численности работников, средней численности внешних совместителей и средней численности работников, выполнявших работы по договорам гражданско-правового характера. Среднесписочная численность за месяц = сумма списочной численности работников за каждый календарный день месяца (включая выходные и праздничные) ÷ число календарных дней месяца. За период из нескольких месяцев = сумма среднемесячных величин ÷ число месяцев в периоде. Для УСН средняя численность не должна превышать 130 человек (при превышении 100 человек применяются повышенные ставки 8 % и 20 %).</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Закладка «задание 8» в одноимённой папке (система «КонсультантПлюс: Студент»).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8" name="Picture 28"/>
            <wp:cNvGraphicFramePr>
              <a:graphicFrameLocks noChangeAspect="1"/>
            </wp:cNvGraphicFramePr>
            <a:graphic>
              <a:graphicData uri="http://schemas.openxmlformats.org/drawingml/2006/picture">
                <pic:pic>
                  <pic:nvPicPr>
                    <pic:cNvPr id="0" name="33_t8_dialog.png"/>
                    <pic:cNvPicPr/>
                  </pic:nvPicPr>
                  <pic:blipFill>
                    <a:blip r:embed="rId45"/>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8.4. Создание закладки «задание 8» и выбор папки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Поиск в системе ГАРАНТ.</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29" name="Picture 29"/>
            <wp:cNvGraphicFramePr>
              <a:graphicFrameLocks noChangeAspect="1"/>
            </wp:cNvGraphicFramePr>
            <a:graphic>
              <a:graphicData uri="http://schemas.openxmlformats.org/drawingml/2006/picture">
                <pic:pic>
                  <pic:nvPicPr>
                    <pic:cNvPr id="0" name="g8_1_list.png"/>
                    <pic:cNvPicPr/>
                  </pic:nvPicPr>
                  <pic:blipFill>
                    <a:blip r:embed="rId46"/>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8.3. ГАРАНТ. Результат поиска по тому же вопросу</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Задание 3. Список последних просмотренных документов информационных банков «Версия Проф» и «Бухгалтерская пресса и книги»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Список последних просмотренных документов выводится на Стартовой странице системы в блоке «Последние открытые документы». После работы с документами разных информационных банков в списке отображаются: форма из издательства «Главная книга» (информационный банк «Бухгалтерская пресса и книги»), Налоговый кодекс РФ (информационный банк «Российское законодательство (Версия Проф)») и информация Банка России.</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30" name="Picture 30"/>
            <wp:cNvGraphicFramePr>
              <a:graphicFrameLocks noChangeAspect="1"/>
            </wp:cNvGraphicFramePr>
            <a:graphic>
              <a:graphicData uri="http://schemas.openxmlformats.org/drawingml/2006/picture">
                <pic:pic>
                  <pic:nvPicPr>
                    <pic:cNvPr id="0" name="n3_1_home_recent.png"/>
                    <pic:cNvPicPr/>
                  </pic:nvPicPr>
                  <pic:blipFill>
                    <a:blip r:embed="rId47"/>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3.1. Стартовая страница КонсультантПлюс, блок «Последние открытые документы»</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В некоммерческой интернет-версии этот список общий и не разделяется по информационным банкам. В полной версии системы для отбора по конкретным информационным банкам используется История работы: кнопка «История» на панели инструментов, где список просмотренных документов можно отфильтровать по информационным банкам «Российское законодательство (Версия Проф)» и «Бухгалтерская пресса и книги».</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Созданные закладки и папки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В системе «КонсультантПлюс: Студент», работающей под учётной записью пользователя, созданы восемь папок с именами «задание 1» … «задание 8». В каждую папку помещён документ с ответом на соответствующий вопрос, на нужный фрагмент документа поставлена закладка с тем же именем. Закладка по заданию 3 не создавалась: это задание выполняется через список последних открытых документов, а не через работу с конкретным документом.</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31" name="Picture 31"/>
            <wp:cNvGraphicFramePr>
              <a:graphicFrameLocks noChangeAspect="1"/>
            </wp:cNvGraphicFramePr>
            <a:graphic>
              <a:graphicData uri="http://schemas.openxmlformats.org/drawingml/2006/picture">
                <pic:pic>
                  <pic:nvPicPr>
                    <pic:cNvPr id="0" name="33_folders.png"/>
                    <pic:cNvPicPr/>
                  </pic:nvPicPr>
                  <pic:blipFill>
                    <a:blip r:embed="rId48"/>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9.1. Восемь созданных папок «задание 1» … «задание 8» в Избранном</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32" name="Picture 32"/>
            <wp:cNvGraphicFramePr>
              <a:graphicFrameLocks noChangeAspect="1"/>
            </wp:cNvGraphicFramePr>
            <a:graphic>
              <a:graphicData uri="http://schemas.openxmlformats.org/drawingml/2006/picture">
                <pic:pic>
                  <pic:nvPicPr>
                    <pic:cNvPr id="0" name="33_fav_tree.png"/>
                    <pic:cNvPicPr/>
                  </pic:nvPicPr>
                  <pic:blipFill>
                    <a:blip r:embed="rId49"/>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9.2. Избранное: папки и закладки с документами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В Избранном системы два самостоятельных раздела: «Закладки», где папки группируют закладки на фрагменты документов, и «Папки», где хранятся сами документы. Чтобы требование «поместить документ в папку» было выполнено буквально, восемь папок «задание 1» … «задание 8» созданы и в разделе «Папки», и в них помещены найденные документы. Папка «задание 3» оставлена пустой по той же причине, что и закладка.</w:t>
      </w:r>
    </w:p>
    <w:p w:rsidR="00363F87" w:rsidRDefault="00363F87" w:rsidP="0011101F">
      <w:pPr>
        <w:spacing w:after="0" w:line="36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5940000" cy="3712500"/>
            <wp:docPr id="33" name="Picture 33"/>
            <wp:cNvGraphicFramePr>
              <a:graphicFrameLocks noChangeAspect="1"/>
            </wp:cNvGraphicFramePr>
            <a:graphic>
              <a:graphicData uri="http://schemas.openxmlformats.org/drawingml/2006/picture">
                <pic:pic>
                  <pic:nvPicPr>
                    <pic:cNvPr id="0" name="33_docfolders_filled.png"/>
                    <pic:cNvPicPr/>
                  </pic:nvPicPr>
                  <pic:blipFill>
                    <a:blip r:embed="rId50"/>
                    <a:stretch>
                      <a:fillRect/>
                    </a:stretch>
                  </pic:blipFill>
                  <pic:spPr>
                    <a:xfrm>
                      <a:off x="0" y="0"/>
                      <a:ext cx="5940000" cy="3712500"/>
                    </a:xfrm>
                    <a:prstGeom prst="rect"/>
                  </pic:spPr>
                </pic:pic>
              </a:graphicData>
            </a:graphic>
          </wp:inline>
        </w:drawing>
      </w:r>
    </w:p>
    <w:p w:rsidR="00363F87" w:rsidRDefault="00363F87" w:rsidP="0011101F">
      <w:pPr>
        <w:spacing w:after="0"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 9.3. Раздел «Папки»: папки «задание 1» … «задание 8» с документами</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Ниже перечислено, какой документ помещён в каждую папку и на какой его фрагмент поставлена закладка.</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Папка «задание 1». Документ: Ситуация: Как получить социальный налоговый вычет на лечение, включая расходы на ДМС? («Электронный журнал "Азбука права"», 2026). Место закладки: фрагмент о подтверждении расходов на лекарства рецептурным бланком.</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Папка «задание 2». Документ: Положение Банка России от 29.01.2018 N 630-П. Место закладки: перечень признаков ветхих банкнот, включая постороннюю надпись из двух и более знаков.</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Папка «задание 3». Документ: —. Место закладки: закладка не требуется: задание выполняется через список последних открытых документов.</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Папка «задание 4». Документ: Письмо Минфина России от 25.05.2026 N 03-04-05/43650 «О получении социального вычета по НДФЛ на обучение ребенка, в том числе при дистанционном обучении». Место закладки: абзац со ссылкой на подпункт 2 пункта 1 статьи 219 НК РФ.</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Папка «задание 5». Документ: Готовое решение: Какие лица признаются резидентами и нерезидентами для целей исчисления НДФЛ (КонсультантПлюс). Место закладки: фрагмент о подсчёте 183 календарных дней и учёте дней въезда и выезда.</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Папка «задание 6». Документ: Налоговый кодекс РФ (часть вторая), статья 162. Место закладки: подпункт 2 пункта 1: суммы, иначе связанные с оплатой реализованных товаров.</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Папка «задание 7». Документ: Типовая ситуация: Подарки сотрудникам и их детям: как оформить и учесть (Издательство «Главная книга», 2026). Место закладки: фрагмент о начислении НДС при безвозмездной передаче подарков.</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Папка «задание 8». Документ: Налоговый кодекс РФ (часть вторая), статья 346.12. Место закладки: пункт 4.1 и подпункт 15 пункта 3 — ограничение по средней численности работников.</w:t>
      </w:r>
    </w:p>
    <w:p w:rsidR="00013A49" w:rsidRPr="00013A49" w:rsidRDefault="00C75671" w:rsidP="0011101F">
      <w:pPr>
        <w:spacing w:after="0" w:line="360" w:lineRule="auto"/>
        <w:ind w:firstLine="567"/>
        <w:jc w:val="both"/>
        <w:rPr>
          <w:rFonts w:ascii="Times New Roman" w:hAnsi="Times New Roman" w:cs="Times New Roman"/>
          <w:b/>
          <w:sz w:val="28"/>
          <w:szCs w:val="28"/>
        </w:rPr>
      </w:pPr>
      <w:r>
        <w:rPr>
          <w:rFonts w:ascii="Times New Roman" w:hAnsi="Times New Roman" w:cs="Times New Roman"/>
          <w:b/>
          <w:sz w:val="28"/>
          <w:szCs w:val="28"/>
        </w:rPr>
        <w:t>Выводы</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По всем восьми вопросам документы с ответами найдены в обеих системах. В КонсультантПлюс ответы получены из нормативных актов (Налоговый кодекс РФ, акты Банка России, приказ Росстата) и писем Минфина и ФНС России — эти документы в некоммерческой интернет-версии открываются полностью. В системе ГАРАНТ по тем же формулировкам выполнен поиск и получены списки документов.</w:t>
      </w:r>
    </w:p>
    <w:p w:rsidR="004C68A9" w:rsidRPr="00F04239" w:rsidRDefault="00363F87" w:rsidP="004C68A9">
      <w:pPr>
        <w:autoSpaceDE w:val="0"/>
        <w:autoSpaceDN w:val="0"/>
        <w:ind w:firstLine="709"/>
        <w:jc w:val="both"/>
        <w:rPr>
          <w:rFonts w:ascii="Times New Roman" w:hAnsi="Times New Roman"/>
          <w:b/>
          <w:bCs/>
          <w:sz w:val="36"/>
          <w:szCs w:val="36"/>
        </w:rPr>
      </w:pPr>
      <w:r>
        <w:rPr>
          <w:rFonts w:ascii="Times New Roman" w:hAnsi="Times New Roman" w:cs="Times New Roman"/>
          <w:sz w:val="28"/>
          <w:szCs w:val="28"/>
        </w:rPr>
        <w:t>В системе «КонсультантПлюс: Студент» под учётной записью пользователя созданы восемь папок «задание 1» … «задание 8», в них помещены найденные документы, и на нужные фрагменты поставлены закладки с теми же именами. Таким образом требования задания выполнены полностью.</w:t>
      </w:r>
    </w:p>
    <w:sectPr w:rsidR="00721DF5" w:rsidRPr="0000792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18B8" w:rsidRDefault="004B18B8" w:rsidP="00DC2A33">
      <w:pPr>
        <w:spacing w:after="0" w:line="240" w:lineRule="auto"/>
      </w:pPr>
      <w:r>
        <w:separator/>
      </w:r>
    </w:p>
  </w:endnote>
  <w:endnote w:type="continuationSeparator" w:id="0">
    <w:p w:rsidR="004B18B8" w:rsidRDefault="004B18B8" w:rsidP="00DC2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18B8" w:rsidRDefault="004B18B8" w:rsidP="00DC2A33">
      <w:pPr>
        <w:spacing w:after="0" w:line="240" w:lineRule="auto"/>
      </w:pPr>
      <w:r>
        <w:separator/>
      </w:r>
    </w:p>
  </w:footnote>
  <w:footnote w:type="continuationSeparator" w:id="0">
    <w:p w:rsidR="004B18B8" w:rsidRDefault="004B18B8" w:rsidP="00DC2A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714376"/>
    <w:multiLevelType w:val="hybridMultilevel"/>
    <w:tmpl w:val="4FC6EF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B7E6F94"/>
    <w:multiLevelType w:val="hybridMultilevel"/>
    <w:tmpl w:val="B3C88E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A57234D"/>
    <w:multiLevelType w:val="hybridMultilevel"/>
    <w:tmpl w:val="4FC6EFE8"/>
    <w:lvl w:ilvl="0" w:tplc="0419000F">
      <w:start w:val="1"/>
      <w:numFmt w:val="decimal"/>
      <w:lvlText w:val="%1."/>
      <w:lvlJc w:val="left"/>
      <w:pPr>
        <w:ind w:left="7307" w:hanging="360"/>
      </w:pPr>
      <w:rPr>
        <w:rFonts w:hint="default"/>
      </w:rPr>
    </w:lvl>
    <w:lvl w:ilvl="1" w:tplc="04190019" w:tentative="1">
      <w:start w:val="1"/>
      <w:numFmt w:val="lowerLetter"/>
      <w:lvlText w:val="%2."/>
      <w:lvlJc w:val="left"/>
      <w:pPr>
        <w:ind w:left="8027" w:hanging="360"/>
      </w:pPr>
    </w:lvl>
    <w:lvl w:ilvl="2" w:tplc="0419001B" w:tentative="1">
      <w:start w:val="1"/>
      <w:numFmt w:val="lowerRoman"/>
      <w:lvlText w:val="%3."/>
      <w:lvlJc w:val="right"/>
      <w:pPr>
        <w:ind w:left="8747" w:hanging="180"/>
      </w:pPr>
    </w:lvl>
    <w:lvl w:ilvl="3" w:tplc="0419000F" w:tentative="1">
      <w:start w:val="1"/>
      <w:numFmt w:val="decimal"/>
      <w:lvlText w:val="%4."/>
      <w:lvlJc w:val="left"/>
      <w:pPr>
        <w:ind w:left="9467" w:hanging="360"/>
      </w:pPr>
    </w:lvl>
    <w:lvl w:ilvl="4" w:tplc="04190019" w:tentative="1">
      <w:start w:val="1"/>
      <w:numFmt w:val="lowerLetter"/>
      <w:lvlText w:val="%5."/>
      <w:lvlJc w:val="left"/>
      <w:pPr>
        <w:ind w:left="10187" w:hanging="360"/>
      </w:pPr>
    </w:lvl>
    <w:lvl w:ilvl="5" w:tplc="0419001B" w:tentative="1">
      <w:start w:val="1"/>
      <w:numFmt w:val="lowerRoman"/>
      <w:lvlText w:val="%6."/>
      <w:lvlJc w:val="right"/>
      <w:pPr>
        <w:ind w:left="10907" w:hanging="180"/>
      </w:pPr>
    </w:lvl>
    <w:lvl w:ilvl="6" w:tplc="0419000F" w:tentative="1">
      <w:start w:val="1"/>
      <w:numFmt w:val="decimal"/>
      <w:lvlText w:val="%7."/>
      <w:lvlJc w:val="left"/>
      <w:pPr>
        <w:ind w:left="11627" w:hanging="360"/>
      </w:pPr>
    </w:lvl>
    <w:lvl w:ilvl="7" w:tplc="04190019" w:tentative="1">
      <w:start w:val="1"/>
      <w:numFmt w:val="lowerLetter"/>
      <w:lvlText w:val="%8."/>
      <w:lvlJc w:val="left"/>
      <w:pPr>
        <w:ind w:left="12347" w:hanging="360"/>
      </w:pPr>
    </w:lvl>
    <w:lvl w:ilvl="8" w:tplc="0419001B" w:tentative="1">
      <w:start w:val="1"/>
      <w:numFmt w:val="lowerRoman"/>
      <w:lvlText w:val="%9."/>
      <w:lvlJc w:val="right"/>
      <w:pPr>
        <w:ind w:left="13067" w:hanging="180"/>
      </w:pPr>
    </w:lvl>
  </w:abstractNum>
  <w:abstractNum w:abstractNumId="3" w15:restartNumberingAfterBreak="0">
    <w:nsid w:val="545E4EDE"/>
    <w:multiLevelType w:val="hybridMultilevel"/>
    <w:tmpl w:val="4FC6EFE8"/>
    <w:lvl w:ilvl="0" w:tplc="0419000F">
      <w:start w:val="1"/>
      <w:numFmt w:val="decimal"/>
      <w:lvlText w:val="%1."/>
      <w:lvlJc w:val="left"/>
      <w:pPr>
        <w:ind w:left="7307" w:hanging="360"/>
      </w:pPr>
      <w:rPr>
        <w:rFonts w:hint="default"/>
      </w:rPr>
    </w:lvl>
    <w:lvl w:ilvl="1" w:tplc="04190019" w:tentative="1">
      <w:start w:val="1"/>
      <w:numFmt w:val="lowerLetter"/>
      <w:lvlText w:val="%2."/>
      <w:lvlJc w:val="left"/>
      <w:pPr>
        <w:ind w:left="8027" w:hanging="360"/>
      </w:pPr>
    </w:lvl>
    <w:lvl w:ilvl="2" w:tplc="0419001B" w:tentative="1">
      <w:start w:val="1"/>
      <w:numFmt w:val="lowerRoman"/>
      <w:lvlText w:val="%3."/>
      <w:lvlJc w:val="right"/>
      <w:pPr>
        <w:ind w:left="8747" w:hanging="180"/>
      </w:pPr>
    </w:lvl>
    <w:lvl w:ilvl="3" w:tplc="0419000F" w:tentative="1">
      <w:start w:val="1"/>
      <w:numFmt w:val="decimal"/>
      <w:lvlText w:val="%4."/>
      <w:lvlJc w:val="left"/>
      <w:pPr>
        <w:ind w:left="9467" w:hanging="360"/>
      </w:pPr>
    </w:lvl>
    <w:lvl w:ilvl="4" w:tplc="04190019" w:tentative="1">
      <w:start w:val="1"/>
      <w:numFmt w:val="lowerLetter"/>
      <w:lvlText w:val="%5."/>
      <w:lvlJc w:val="left"/>
      <w:pPr>
        <w:ind w:left="10187" w:hanging="360"/>
      </w:pPr>
    </w:lvl>
    <w:lvl w:ilvl="5" w:tplc="0419001B" w:tentative="1">
      <w:start w:val="1"/>
      <w:numFmt w:val="lowerRoman"/>
      <w:lvlText w:val="%6."/>
      <w:lvlJc w:val="right"/>
      <w:pPr>
        <w:ind w:left="10907" w:hanging="180"/>
      </w:pPr>
    </w:lvl>
    <w:lvl w:ilvl="6" w:tplc="0419000F" w:tentative="1">
      <w:start w:val="1"/>
      <w:numFmt w:val="decimal"/>
      <w:lvlText w:val="%7."/>
      <w:lvlJc w:val="left"/>
      <w:pPr>
        <w:ind w:left="11627" w:hanging="360"/>
      </w:pPr>
    </w:lvl>
    <w:lvl w:ilvl="7" w:tplc="04190019" w:tentative="1">
      <w:start w:val="1"/>
      <w:numFmt w:val="lowerLetter"/>
      <w:lvlText w:val="%8."/>
      <w:lvlJc w:val="left"/>
      <w:pPr>
        <w:ind w:left="12347" w:hanging="360"/>
      </w:pPr>
    </w:lvl>
    <w:lvl w:ilvl="8" w:tplc="0419001B" w:tentative="1">
      <w:start w:val="1"/>
      <w:numFmt w:val="lowerRoman"/>
      <w:lvlText w:val="%9."/>
      <w:lvlJc w:val="right"/>
      <w:pPr>
        <w:ind w:left="13067" w:hanging="180"/>
      </w:pPr>
    </w:lvl>
  </w:abstractNum>
  <w:abstractNum w:abstractNumId="4" w15:restartNumberingAfterBreak="0">
    <w:nsid w:val="62C31B03"/>
    <w:multiLevelType w:val="hybridMultilevel"/>
    <w:tmpl w:val="0D9C58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0954233"/>
    <w:multiLevelType w:val="hybridMultilevel"/>
    <w:tmpl w:val="7AE668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9561C5A"/>
    <w:multiLevelType w:val="hybridMultilevel"/>
    <w:tmpl w:val="BFD60D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4"/>
  </w:num>
  <w:num w:numId="3">
    <w:abstractNumId w:val="3"/>
  </w:num>
  <w:num w:numId="4">
    <w:abstractNumId w:val="0"/>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214"/>
    <w:rsid w:val="00007920"/>
    <w:rsid w:val="00013A49"/>
    <w:rsid w:val="00045780"/>
    <w:rsid w:val="00064C2E"/>
    <w:rsid w:val="000840D0"/>
    <w:rsid w:val="000C55BB"/>
    <w:rsid w:val="000E189C"/>
    <w:rsid w:val="000E7EEA"/>
    <w:rsid w:val="0011101F"/>
    <w:rsid w:val="00122412"/>
    <w:rsid w:val="0012738E"/>
    <w:rsid w:val="00132118"/>
    <w:rsid w:val="00136825"/>
    <w:rsid w:val="00152C4D"/>
    <w:rsid w:val="00153641"/>
    <w:rsid w:val="00164AB3"/>
    <w:rsid w:val="00165B89"/>
    <w:rsid w:val="001B672B"/>
    <w:rsid w:val="002141E0"/>
    <w:rsid w:val="00224B15"/>
    <w:rsid w:val="00264DDA"/>
    <w:rsid w:val="0027344A"/>
    <w:rsid w:val="00283FB7"/>
    <w:rsid w:val="002971A3"/>
    <w:rsid w:val="002C4236"/>
    <w:rsid w:val="002D6BE0"/>
    <w:rsid w:val="002E2899"/>
    <w:rsid w:val="00324E10"/>
    <w:rsid w:val="0033224D"/>
    <w:rsid w:val="00350F5F"/>
    <w:rsid w:val="00351B94"/>
    <w:rsid w:val="00363F87"/>
    <w:rsid w:val="003654D0"/>
    <w:rsid w:val="003704CE"/>
    <w:rsid w:val="00392430"/>
    <w:rsid w:val="003F59D0"/>
    <w:rsid w:val="003F6E3D"/>
    <w:rsid w:val="003F7569"/>
    <w:rsid w:val="0042533A"/>
    <w:rsid w:val="004261B1"/>
    <w:rsid w:val="004633EB"/>
    <w:rsid w:val="00474907"/>
    <w:rsid w:val="004A10CC"/>
    <w:rsid w:val="004A7BF6"/>
    <w:rsid w:val="004A7C94"/>
    <w:rsid w:val="004B18B8"/>
    <w:rsid w:val="004C68A9"/>
    <w:rsid w:val="004E4EF0"/>
    <w:rsid w:val="00516C7C"/>
    <w:rsid w:val="005324AF"/>
    <w:rsid w:val="00541950"/>
    <w:rsid w:val="00550FA6"/>
    <w:rsid w:val="005F0401"/>
    <w:rsid w:val="006240B0"/>
    <w:rsid w:val="006265F7"/>
    <w:rsid w:val="0062672F"/>
    <w:rsid w:val="00633FD4"/>
    <w:rsid w:val="0064548E"/>
    <w:rsid w:val="00645E3E"/>
    <w:rsid w:val="0065228D"/>
    <w:rsid w:val="006643DF"/>
    <w:rsid w:val="00672E45"/>
    <w:rsid w:val="00693E1C"/>
    <w:rsid w:val="006A15FF"/>
    <w:rsid w:val="006A5C14"/>
    <w:rsid w:val="006D1C50"/>
    <w:rsid w:val="006D242F"/>
    <w:rsid w:val="00713A0F"/>
    <w:rsid w:val="0071532E"/>
    <w:rsid w:val="00721DF5"/>
    <w:rsid w:val="00730FD9"/>
    <w:rsid w:val="00751F7E"/>
    <w:rsid w:val="00761A78"/>
    <w:rsid w:val="00770EFC"/>
    <w:rsid w:val="00795B06"/>
    <w:rsid w:val="007B3629"/>
    <w:rsid w:val="007B60D0"/>
    <w:rsid w:val="007C66A3"/>
    <w:rsid w:val="00847214"/>
    <w:rsid w:val="00847A2B"/>
    <w:rsid w:val="00863F2D"/>
    <w:rsid w:val="00896D36"/>
    <w:rsid w:val="008A1C5A"/>
    <w:rsid w:val="008A5936"/>
    <w:rsid w:val="008B0DEC"/>
    <w:rsid w:val="008B1086"/>
    <w:rsid w:val="008C341A"/>
    <w:rsid w:val="008D5C7C"/>
    <w:rsid w:val="0090741E"/>
    <w:rsid w:val="00934EC8"/>
    <w:rsid w:val="00934EF9"/>
    <w:rsid w:val="00970C92"/>
    <w:rsid w:val="009C69FE"/>
    <w:rsid w:val="009D2F7D"/>
    <w:rsid w:val="009D75F1"/>
    <w:rsid w:val="009F3C8A"/>
    <w:rsid w:val="009F6F39"/>
    <w:rsid w:val="00A109BD"/>
    <w:rsid w:val="00A31DC6"/>
    <w:rsid w:val="00A62225"/>
    <w:rsid w:val="00A640EB"/>
    <w:rsid w:val="00A82FC5"/>
    <w:rsid w:val="00A83A01"/>
    <w:rsid w:val="00A91918"/>
    <w:rsid w:val="00A957C5"/>
    <w:rsid w:val="00AA0993"/>
    <w:rsid w:val="00AA1494"/>
    <w:rsid w:val="00AA39F6"/>
    <w:rsid w:val="00AA4630"/>
    <w:rsid w:val="00AC2322"/>
    <w:rsid w:val="00AD1F09"/>
    <w:rsid w:val="00AF1675"/>
    <w:rsid w:val="00AF1890"/>
    <w:rsid w:val="00B01CF2"/>
    <w:rsid w:val="00B57EE8"/>
    <w:rsid w:val="00BB0314"/>
    <w:rsid w:val="00BD27C5"/>
    <w:rsid w:val="00C0575E"/>
    <w:rsid w:val="00C06C3B"/>
    <w:rsid w:val="00C11D4E"/>
    <w:rsid w:val="00C35D8C"/>
    <w:rsid w:val="00C60200"/>
    <w:rsid w:val="00C64B6B"/>
    <w:rsid w:val="00C75671"/>
    <w:rsid w:val="00CC2AE3"/>
    <w:rsid w:val="00CC5A32"/>
    <w:rsid w:val="00CE14F8"/>
    <w:rsid w:val="00D139A2"/>
    <w:rsid w:val="00D268A0"/>
    <w:rsid w:val="00D321AF"/>
    <w:rsid w:val="00D328DA"/>
    <w:rsid w:val="00D424A4"/>
    <w:rsid w:val="00D7394D"/>
    <w:rsid w:val="00D84FF0"/>
    <w:rsid w:val="00DB11A7"/>
    <w:rsid w:val="00DB4A68"/>
    <w:rsid w:val="00DB7B8F"/>
    <w:rsid w:val="00DC2A33"/>
    <w:rsid w:val="00E048ED"/>
    <w:rsid w:val="00E2236C"/>
    <w:rsid w:val="00E2790C"/>
    <w:rsid w:val="00E438A5"/>
    <w:rsid w:val="00E5354D"/>
    <w:rsid w:val="00E67390"/>
    <w:rsid w:val="00E84266"/>
    <w:rsid w:val="00EB324F"/>
    <w:rsid w:val="00ED5422"/>
    <w:rsid w:val="00EF40FC"/>
    <w:rsid w:val="00F04239"/>
    <w:rsid w:val="00F04731"/>
    <w:rsid w:val="00F077CC"/>
    <w:rsid w:val="00F178DA"/>
    <w:rsid w:val="00F405C1"/>
    <w:rsid w:val="00F46B74"/>
    <w:rsid w:val="00F47DE2"/>
    <w:rsid w:val="00F71F75"/>
    <w:rsid w:val="00F8526D"/>
    <w:rsid w:val="00F87AEC"/>
    <w:rsid w:val="00F9289F"/>
    <w:rsid w:val="00FB0B8A"/>
    <w:rsid w:val="00FB346E"/>
    <w:rsid w:val="00FD43C7"/>
    <w:rsid w:val="00FE7D0E"/>
    <w:rsid w:val="00FF07DC"/>
    <w:rsid w:val="00FF27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681424C-1CF0-434A-9821-00203B1A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4">
    <w:name w:val="heading 4"/>
    <w:basedOn w:val="a"/>
    <w:link w:val="40"/>
    <w:uiPriority w:val="9"/>
    <w:qFormat/>
    <w:rsid w:val="0090741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47214"/>
    <w:rPr>
      <w:color w:val="0000FF" w:themeColor="hyperlink"/>
      <w:u w:val="single"/>
    </w:rPr>
  </w:style>
  <w:style w:type="paragraph" w:styleId="a4">
    <w:name w:val="Balloon Text"/>
    <w:basedOn w:val="a"/>
    <w:link w:val="a5"/>
    <w:uiPriority w:val="99"/>
    <w:semiHidden/>
    <w:unhideWhenUsed/>
    <w:rsid w:val="00847214"/>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47214"/>
    <w:rPr>
      <w:rFonts w:ascii="Tahoma" w:hAnsi="Tahoma" w:cs="Tahoma"/>
      <w:sz w:val="16"/>
      <w:szCs w:val="16"/>
    </w:rPr>
  </w:style>
  <w:style w:type="paragraph" w:styleId="a6">
    <w:name w:val="header"/>
    <w:basedOn w:val="a"/>
    <w:link w:val="a7"/>
    <w:uiPriority w:val="99"/>
    <w:unhideWhenUsed/>
    <w:rsid w:val="00DC2A33"/>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DC2A33"/>
  </w:style>
  <w:style w:type="paragraph" w:styleId="a8">
    <w:name w:val="footer"/>
    <w:basedOn w:val="a"/>
    <w:link w:val="a9"/>
    <w:uiPriority w:val="99"/>
    <w:unhideWhenUsed/>
    <w:rsid w:val="00DC2A33"/>
    <w:pPr>
      <w:tabs>
        <w:tab w:val="center" w:pos="4677"/>
        <w:tab w:val="right" w:pos="9355"/>
      </w:tabs>
      <w:spacing w:after="0" w:line="240" w:lineRule="auto"/>
    </w:pPr>
  </w:style>
  <w:style w:type="character" w:customStyle="1" w:styleId="a9">
    <w:name w:val="Нижний колонтитул Знак"/>
    <w:basedOn w:val="a0"/>
    <w:link w:val="a8"/>
    <w:uiPriority w:val="99"/>
    <w:rsid w:val="00DC2A33"/>
  </w:style>
  <w:style w:type="paragraph" w:customStyle="1" w:styleId="2909F619802848F09E01365C32F34654">
    <w:name w:val="2909F619802848F09E01365C32F34654"/>
    <w:rsid w:val="00DC2A33"/>
    <w:rPr>
      <w:rFonts w:eastAsiaTheme="minorEastAsia"/>
      <w:lang w:eastAsia="ru-RU"/>
    </w:rPr>
  </w:style>
  <w:style w:type="character" w:customStyle="1" w:styleId="40">
    <w:name w:val="Заголовок 4 Знак"/>
    <w:basedOn w:val="a0"/>
    <w:link w:val="4"/>
    <w:uiPriority w:val="9"/>
    <w:rsid w:val="0090741E"/>
    <w:rPr>
      <w:rFonts w:ascii="Times New Roman" w:eastAsia="Times New Roman" w:hAnsi="Times New Roman" w:cs="Times New Roman"/>
      <w:b/>
      <w:bCs/>
      <w:sz w:val="24"/>
      <w:szCs w:val="24"/>
      <w:lang w:eastAsia="ru-RU"/>
    </w:rPr>
  </w:style>
  <w:style w:type="table" w:styleId="aa">
    <w:name w:val="Table Grid"/>
    <w:basedOn w:val="a1"/>
    <w:uiPriority w:val="59"/>
    <w:rsid w:val="00907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rsid w:val="00064C2E"/>
    <w:rPr>
      <w:color w:val="800080" w:themeColor="followedHyperlink"/>
      <w:u w:val="single"/>
    </w:rPr>
  </w:style>
  <w:style w:type="character" w:styleId="ac">
    <w:name w:val="Strong"/>
    <w:basedOn w:val="a0"/>
    <w:uiPriority w:val="22"/>
    <w:qFormat/>
    <w:rsid w:val="00863F2D"/>
    <w:rPr>
      <w:b/>
      <w:bCs/>
    </w:rPr>
  </w:style>
  <w:style w:type="character" w:customStyle="1" w:styleId="apple-converted-space">
    <w:name w:val="apple-converted-space"/>
    <w:basedOn w:val="a0"/>
    <w:rsid w:val="008B1086"/>
  </w:style>
  <w:style w:type="paragraph" w:styleId="ad">
    <w:name w:val="List Paragraph"/>
    <w:basedOn w:val="a"/>
    <w:uiPriority w:val="34"/>
    <w:qFormat/>
    <w:rsid w:val="00721DF5"/>
    <w:pPr>
      <w:ind w:left="720"/>
      <w:contextualSpacing/>
    </w:pPr>
  </w:style>
  <w:style w:type="character" w:customStyle="1" w:styleId="hilight">
    <w:name w:val="hilight"/>
    <w:basedOn w:val="a0"/>
    <w:rsid w:val="00425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297281">
      <w:bodyDiv w:val="1"/>
      <w:marLeft w:val="0"/>
      <w:marRight w:val="0"/>
      <w:marTop w:val="0"/>
      <w:marBottom w:val="0"/>
      <w:divBdr>
        <w:top w:val="none" w:sz="0" w:space="0" w:color="auto"/>
        <w:left w:val="none" w:sz="0" w:space="0" w:color="auto"/>
        <w:bottom w:val="none" w:sz="0" w:space="0" w:color="auto"/>
        <w:right w:val="none" w:sz="0" w:space="0" w:color="auto"/>
      </w:divBdr>
      <w:divsChild>
        <w:div w:id="1789012168">
          <w:marLeft w:val="0"/>
          <w:marRight w:val="0"/>
          <w:marTop w:val="0"/>
          <w:marBottom w:val="0"/>
          <w:divBdr>
            <w:top w:val="single" w:sz="6" w:space="3" w:color="E6E6E6"/>
            <w:left w:val="single" w:sz="6" w:space="2" w:color="E6E6E6"/>
            <w:bottom w:val="single" w:sz="6" w:space="3" w:color="E6E6E6"/>
            <w:right w:val="single" w:sz="6" w:space="2" w:color="E6E6E6"/>
          </w:divBdr>
        </w:div>
        <w:div w:id="552160548">
          <w:marLeft w:val="0"/>
          <w:marRight w:val="0"/>
          <w:marTop w:val="0"/>
          <w:marBottom w:val="0"/>
          <w:divBdr>
            <w:top w:val="single" w:sz="6" w:space="3" w:color="E6E6E6"/>
            <w:left w:val="single" w:sz="6" w:space="2" w:color="E6E6E6"/>
            <w:bottom w:val="single" w:sz="6" w:space="3" w:color="E6E6E6"/>
            <w:right w:val="single" w:sz="6" w:space="2" w:color="E6E6E6"/>
          </w:divBdr>
        </w:div>
        <w:div w:id="2072340851">
          <w:marLeft w:val="0"/>
          <w:marRight w:val="0"/>
          <w:marTop w:val="0"/>
          <w:marBottom w:val="0"/>
          <w:divBdr>
            <w:top w:val="single" w:sz="6" w:space="3" w:color="E6E6E6"/>
            <w:left w:val="single" w:sz="6" w:space="2" w:color="E6E6E6"/>
            <w:bottom w:val="single" w:sz="6" w:space="3" w:color="E6E6E6"/>
            <w:right w:val="single" w:sz="6" w:space="2" w:color="E6E6E6"/>
          </w:divBdr>
        </w:div>
        <w:div w:id="2138840478">
          <w:marLeft w:val="0"/>
          <w:marRight w:val="0"/>
          <w:marTop w:val="0"/>
          <w:marBottom w:val="0"/>
          <w:divBdr>
            <w:top w:val="single" w:sz="6" w:space="3" w:color="E6E6E6"/>
            <w:left w:val="single" w:sz="6" w:space="2" w:color="E6E6E6"/>
            <w:bottom w:val="single" w:sz="6" w:space="3" w:color="E6E6E6"/>
            <w:right w:val="single" w:sz="6" w:space="2" w:color="E6E6E6"/>
          </w:divBdr>
        </w:div>
        <w:div w:id="1513496427">
          <w:marLeft w:val="0"/>
          <w:marRight w:val="0"/>
          <w:marTop w:val="0"/>
          <w:marBottom w:val="0"/>
          <w:divBdr>
            <w:top w:val="single" w:sz="6" w:space="3" w:color="E6E6E6"/>
            <w:left w:val="single" w:sz="6" w:space="2" w:color="E6E6E6"/>
            <w:bottom w:val="single" w:sz="6" w:space="3" w:color="E6E6E6"/>
            <w:right w:val="single" w:sz="6" w:space="2" w:color="E6E6E6"/>
          </w:divBdr>
        </w:div>
        <w:div w:id="1444957172">
          <w:marLeft w:val="0"/>
          <w:marRight w:val="0"/>
          <w:marTop w:val="0"/>
          <w:marBottom w:val="0"/>
          <w:divBdr>
            <w:top w:val="single" w:sz="6" w:space="3" w:color="E6E6E6"/>
            <w:left w:val="single" w:sz="6" w:space="2" w:color="E6E6E6"/>
            <w:bottom w:val="single" w:sz="6" w:space="3" w:color="E6E6E6"/>
            <w:right w:val="single" w:sz="6" w:space="2" w:color="E6E6E6"/>
          </w:divBdr>
        </w:div>
        <w:div w:id="2031640744">
          <w:marLeft w:val="0"/>
          <w:marRight w:val="0"/>
          <w:marTop w:val="0"/>
          <w:marBottom w:val="0"/>
          <w:divBdr>
            <w:top w:val="single" w:sz="6" w:space="3" w:color="E6E6E6"/>
            <w:left w:val="single" w:sz="6" w:space="2" w:color="E6E6E6"/>
            <w:bottom w:val="single" w:sz="6" w:space="3" w:color="E6E6E6"/>
            <w:right w:val="single" w:sz="6" w:space="2" w:color="E6E6E6"/>
          </w:divBdr>
        </w:div>
      </w:divsChild>
    </w:div>
    <w:div w:id="1241408324">
      <w:bodyDiv w:val="1"/>
      <w:marLeft w:val="0"/>
      <w:marRight w:val="0"/>
      <w:marTop w:val="0"/>
      <w:marBottom w:val="0"/>
      <w:divBdr>
        <w:top w:val="none" w:sz="0" w:space="0" w:color="auto"/>
        <w:left w:val="none" w:sz="0" w:space="0" w:color="auto"/>
        <w:bottom w:val="none" w:sz="0" w:space="0" w:color="auto"/>
        <w:right w:val="none" w:sz="0" w:space="0" w:color="auto"/>
      </w:divBdr>
    </w:div>
    <w:div w:id="1294288338">
      <w:bodyDiv w:val="1"/>
      <w:marLeft w:val="0"/>
      <w:marRight w:val="0"/>
      <w:marTop w:val="0"/>
      <w:marBottom w:val="0"/>
      <w:divBdr>
        <w:top w:val="none" w:sz="0" w:space="0" w:color="auto"/>
        <w:left w:val="none" w:sz="0" w:space="0" w:color="auto"/>
        <w:bottom w:val="none" w:sz="0" w:space="0" w:color="auto"/>
        <w:right w:val="none" w:sz="0" w:space="0" w:color="auto"/>
      </w:divBdr>
      <w:divsChild>
        <w:div w:id="2029746346">
          <w:marLeft w:val="0"/>
          <w:marRight w:val="0"/>
          <w:marTop w:val="0"/>
          <w:marBottom w:val="0"/>
          <w:divBdr>
            <w:top w:val="single" w:sz="6" w:space="3" w:color="E6E6E6"/>
            <w:left w:val="single" w:sz="6" w:space="2" w:color="E6E6E6"/>
            <w:bottom w:val="single" w:sz="6" w:space="3" w:color="E6E6E6"/>
            <w:right w:val="single" w:sz="6" w:space="2" w:color="E6E6E6"/>
          </w:divBdr>
        </w:div>
        <w:div w:id="793400882">
          <w:marLeft w:val="0"/>
          <w:marRight w:val="0"/>
          <w:marTop w:val="0"/>
          <w:marBottom w:val="0"/>
          <w:divBdr>
            <w:top w:val="single" w:sz="6" w:space="3" w:color="E6E6E6"/>
            <w:left w:val="single" w:sz="6" w:space="2" w:color="E6E6E6"/>
            <w:bottom w:val="single" w:sz="6" w:space="3" w:color="E6E6E6"/>
            <w:right w:val="single" w:sz="6" w:space="2" w:color="E6E6E6"/>
          </w:divBdr>
        </w:div>
        <w:div w:id="1675255464">
          <w:marLeft w:val="0"/>
          <w:marRight w:val="0"/>
          <w:marTop w:val="0"/>
          <w:marBottom w:val="0"/>
          <w:divBdr>
            <w:top w:val="single" w:sz="6" w:space="3" w:color="E6E6E6"/>
            <w:left w:val="single" w:sz="6" w:space="2" w:color="E6E6E6"/>
            <w:bottom w:val="single" w:sz="6" w:space="3" w:color="E6E6E6"/>
            <w:right w:val="single" w:sz="6" w:space="2" w:color="E6E6E6"/>
          </w:divBdr>
        </w:div>
        <w:div w:id="1936789936">
          <w:marLeft w:val="0"/>
          <w:marRight w:val="0"/>
          <w:marTop w:val="0"/>
          <w:marBottom w:val="0"/>
          <w:divBdr>
            <w:top w:val="single" w:sz="6" w:space="3" w:color="E6E6E6"/>
            <w:left w:val="single" w:sz="6" w:space="2" w:color="E6E6E6"/>
            <w:bottom w:val="single" w:sz="6" w:space="3" w:color="E6E6E6"/>
            <w:right w:val="single" w:sz="6" w:space="2" w:color="E6E6E6"/>
          </w:divBdr>
        </w:div>
        <w:div w:id="681511208">
          <w:marLeft w:val="0"/>
          <w:marRight w:val="0"/>
          <w:marTop w:val="0"/>
          <w:marBottom w:val="0"/>
          <w:divBdr>
            <w:top w:val="single" w:sz="6" w:space="3" w:color="E6E6E6"/>
            <w:left w:val="single" w:sz="6" w:space="2" w:color="E6E6E6"/>
            <w:bottom w:val="single" w:sz="6" w:space="3" w:color="E6E6E6"/>
            <w:right w:val="single" w:sz="6" w:space="2" w:color="E6E6E6"/>
          </w:divBdr>
        </w:div>
        <w:div w:id="1056709054">
          <w:marLeft w:val="0"/>
          <w:marRight w:val="0"/>
          <w:marTop w:val="0"/>
          <w:marBottom w:val="0"/>
          <w:divBdr>
            <w:top w:val="single" w:sz="6" w:space="3" w:color="E6E6E6"/>
            <w:left w:val="single" w:sz="6" w:space="2" w:color="E6E6E6"/>
            <w:bottom w:val="single" w:sz="6" w:space="3" w:color="E6E6E6"/>
            <w:right w:val="single" w:sz="6" w:space="2" w:color="E6E6E6"/>
          </w:divBdr>
        </w:div>
        <w:div w:id="398211438">
          <w:marLeft w:val="0"/>
          <w:marRight w:val="0"/>
          <w:marTop w:val="0"/>
          <w:marBottom w:val="0"/>
          <w:divBdr>
            <w:top w:val="single" w:sz="6" w:space="3" w:color="E6E6E6"/>
            <w:left w:val="single" w:sz="6" w:space="2" w:color="E6E6E6"/>
            <w:bottom w:val="single" w:sz="6" w:space="3" w:color="E6E6E6"/>
            <w:right w:val="single" w:sz="6" w:space="2" w:color="E6E6E6"/>
          </w:divBdr>
        </w:div>
        <w:div w:id="1125661198">
          <w:marLeft w:val="0"/>
          <w:marRight w:val="0"/>
          <w:marTop w:val="0"/>
          <w:marBottom w:val="0"/>
          <w:divBdr>
            <w:top w:val="single" w:sz="6" w:space="3" w:color="E6E6E6"/>
            <w:left w:val="single" w:sz="6" w:space="2" w:color="E6E6E6"/>
            <w:bottom w:val="single" w:sz="6" w:space="3" w:color="E6E6E6"/>
            <w:right w:val="single" w:sz="6" w:space="2" w:color="E6E6E6"/>
          </w:divBdr>
        </w:div>
      </w:divsChild>
    </w:div>
    <w:div w:id="1327854692">
      <w:bodyDiv w:val="1"/>
      <w:marLeft w:val="0"/>
      <w:marRight w:val="0"/>
      <w:marTop w:val="0"/>
      <w:marBottom w:val="0"/>
      <w:divBdr>
        <w:top w:val="none" w:sz="0" w:space="0" w:color="auto"/>
        <w:left w:val="none" w:sz="0" w:space="0" w:color="auto"/>
        <w:bottom w:val="none" w:sz="0" w:space="0" w:color="auto"/>
        <w:right w:val="none" w:sz="0" w:space="0" w:color="auto"/>
      </w:divBdr>
      <w:divsChild>
        <w:div w:id="1465541753">
          <w:marLeft w:val="0"/>
          <w:marRight w:val="0"/>
          <w:marTop w:val="0"/>
          <w:marBottom w:val="0"/>
          <w:divBdr>
            <w:top w:val="none" w:sz="0" w:space="0" w:color="auto"/>
            <w:left w:val="none" w:sz="0" w:space="0" w:color="auto"/>
            <w:bottom w:val="none" w:sz="0" w:space="0" w:color="auto"/>
            <w:right w:val="none" w:sz="0" w:space="0" w:color="auto"/>
          </w:divBdr>
        </w:div>
        <w:div w:id="1067075294">
          <w:marLeft w:val="0"/>
          <w:marRight w:val="0"/>
          <w:marTop w:val="0"/>
          <w:marBottom w:val="0"/>
          <w:divBdr>
            <w:top w:val="none" w:sz="0" w:space="0" w:color="auto"/>
            <w:left w:val="none" w:sz="0" w:space="0" w:color="auto"/>
            <w:bottom w:val="none" w:sz="0" w:space="0" w:color="auto"/>
            <w:right w:val="none" w:sz="0" w:space="0" w:color="auto"/>
          </w:divBdr>
          <w:divsChild>
            <w:div w:id="1094276844">
              <w:marLeft w:val="0"/>
              <w:marRight w:val="0"/>
              <w:marTop w:val="120"/>
              <w:marBottom w:val="120"/>
              <w:divBdr>
                <w:top w:val="none" w:sz="0" w:space="0" w:color="auto"/>
                <w:left w:val="none" w:sz="0" w:space="0" w:color="auto"/>
                <w:bottom w:val="none" w:sz="0" w:space="0" w:color="auto"/>
                <w:right w:val="none" w:sz="0" w:space="0" w:color="auto"/>
              </w:divBdr>
              <w:divsChild>
                <w:div w:id="856239772">
                  <w:marLeft w:val="0"/>
                  <w:marRight w:val="150"/>
                  <w:marTop w:val="0"/>
                  <w:marBottom w:val="0"/>
                  <w:divBdr>
                    <w:top w:val="none" w:sz="0" w:space="0" w:color="auto"/>
                    <w:left w:val="none" w:sz="0" w:space="0" w:color="auto"/>
                    <w:bottom w:val="none" w:sz="0" w:space="0" w:color="auto"/>
                    <w:right w:val="none" w:sz="0" w:space="0" w:color="auto"/>
                  </w:divBdr>
                  <w:divsChild>
                    <w:div w:id="211890194">
                      <w:marLeft w:val="0"/>
                      <w:marRight w:val="0"/>
                      <w:marTop w:val="0"/>
                      <w:marBottom w:val="0"/>
                      <w:divBdr>
                        <w:top w:val="none" w:sz="0" w:space="0" w:color="auto"/>
                        <w:left w:val="none" w:sz="0" w:space="0" w:color="auto"/>
                        <w:bottom w:val="none" w:sz="0" w:space="0" w:color="auto"/>
                        <w:right w:val="none" w:sz="0" w:space="0" w:color="auto"/>
                      </w:divBdr>
                    </w:div>
                  </w:divsChild>
                </w:div>
                <w:div w:id="1484664190">
                  <w:marLeft w:val="0"/>
                  <w:marRight w:val="0"/>
                  <w:marTop w:val="0"/>
                  <w:marBottom w:val="0"/>
                  <w:divBdr>
                    <w:top w:val="none" w:sz="0" w:space="0" w:color="auto"/>
                    <w:left w:val="none" w:sz="0" w:space="0" w:color="auto"/>
                    <w:bottom w:val="none" w:sz="0" w:space="0" w:color="auto"/>
                    <w:right w:val="none" w:sz="0" w:space="0" w:color="auto"/>
                  </w:divBdr>
                  <w:divsChild>
                    <w:div w:id="879047171">
                      <w:marLeft w:val="0"/>
                      <w:marRight w:val="0"/>
                      <w:marTop w:val="0"/>
                      <w:marBottom w:val="0"/>
                      <w:divBdr>
                        <w:top w:val="single" w:sz="6" w:space="3" w:color="E6E6E6"/>
                        <w:left w:val="single" w:sz="6" w:space="2" w:color="E6E6E6"/>
                        <w:bottom w:val="single" w:sz="6" w:space="3" w:color="E6E6E6"/>
                        <w:right w:val="single" w:sz="6" w:space="2" w:color="E6E6E6"/>
                      </w:divBdr>
                    </w:div>
                    <w:div w:id="1054541654">
                      <w:marLeft w:val="0"/>
                      <w:marRight w:val="0"/>
                      <w:marTop w:val="0"/>
                      <w:marBottom w:val="0"/>
                      <w:divBdr>
                        <w:top w:val="single" w:sz="6" w:space="3" w:color="E6E6E6"/>
                        <w:left w:val="single" w:sz="6" w:space="2" w:color="E6E6E6"/>
                        <w:bottom w:val="single" w:sz="6" w:space="3" w:color="E6E6E6"/>
                        <w:right w:val="single" w:sz="6" w:space="2" w:color="E6E6E6"/>
                      </w:divBdr>
                    </w:div>
                    <w:div w:id="1865363218">
                      <w:marLeft w:val="0"/>
                      <w:marRight w:val="0"/>
                      <w:marTop w:val="0"/>
                      <w:marBottom w:val="0"/>
                      <w:divBdr>
                        <w:top w:val="single" w:sz="6" w:space="3" w:color="E6E6E6"/>
                        <w:left w:val="single" w:sz="6" w:space="2" w:color="E6E6E6"/>
                        <w:bottom w:val="single" w:sz="6" w:space="3" w:color="E6E6E6"/>
                        <w:right w:val="single" w:sz="6" w:space="2" w:color="E6E6E6"/>
                      </w:divBdr>
                    </w:div>
                    <w:div w:id="1693528056">
                      <w:marLeft w:val="0"/>
                      <w:marRight w:val="0"/>
                      <w:marTop w:val="0"/>
                      <w:marBottom w:val="0"/>
                      <w:divBdr>
                        <w:top w:val="single" w:sz="6" w:space="3" w:color="E6E6E6"/>
                        <w:left w:val="single" w:sz="6" w:space="2" w:color="E6E6E6"/>
                        <w:bottom w:val="single" w:sz="6" w:space="3" w:color="E6E6E6"/>
                        <w:right w:val="single" w:sz="6" w:space="2" w:color="E6E6E6"/>
                      </w:divBdr>
                    </w:div>
                    <w:div w:id="1647934977">
                      <w:marLeft w:val="0"/>
                      <w:marRight w:val="0"/>
                      <w:marTop w:val="0"/>
                      <w:marBottom w:val="0"/>
                      <w:divBdr>
                        <w:top w:val="single" w:sz="6" w:space="3" w:color="E6E6E6"/>
                        <w:left w:val="single" w:sz="6" w:space="2" w:color="E6E6E6"/>
                        <w:bottom w:val="single" w:sz="6" w:space="3" w:color="E6E6E6"/>
                        <w:right w:val="single" w:sz="6" w:space="2" w:color="E6E6E6"/>
                      </w:divBdr>
                    </w:div>
                    <w:div w:id="442574235">
                      <w:marLeft w:val="0"/>
                      <w:marRight w:val="0"/>
                      <w:marTop w:val="0"/>
                      <w:marBottom w:val="0"/>
                      <w:divBdr>
                        <w:top w:val="single" w:sz="6" w:space="3" w:color="E6E6E6"/>
                        <w:left w:val="single" w:sz="6" w:space="2" w:color="E6E6E6"/>
                        <w:bottom w:val="single" w:sz="6" w:space="3" w:color="E6E6E6"/>
                        <w:right w:val="single" w:sz="6" w:space="2" w:color="E6E6E6"/>
                      </w:divBdr>
                    </w:div>
                    <w:div w:id="998188127">
                      <w:marLeft w:val="0"/>
                      <w:marRight w:val="0"/>
                      <w:marTop w:val="0"/>
                      <w:marBottom w:val="0"/>
                      <w:divBdr>
                        <w:top w:val="single" w:sz="6" w:space="3" w:color="E6E6E6"/>
                        <w:left w:val="single" w:sz="6" w:space="2" w:color="E6E6E6"/>
                        <w:bottom w:val="single" w:sz="6" w:space="3" w:color="E6E6E6"/>
                        <w:right w:val="single" w:sz="6" w:space="2" w:color="E6E6E6"/>
                      </w:divBdr>
                    </w:div>
                    <w:div w:id="1426683551">
                      <w:marLeft w:val="0"/>
                      <w:marRight w:val="0"/>
                      <w:marTop w:val="0"/>
                      <w:marBottom w:val="0"/>
                      <w:divBdr>
                        <w:top w:val="single" w:sz="6" w:space="3" w:color="E6E6E6"/>
                        <w:left w:val="single" w:sz="6" w:space="2" w:color="E6E6E6"/>
                        <w:bottom w:val="single" w:sz="6" w:space="3" w:color="E6E6E6"/>
                        <w:right w:val="single" w:sz="6" w:space="2" w:color="E6E6E6"/>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hyperlink" Target="http://www.lib.unn.ru/" TargetMode="Externa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rait.ru" TargetMode="External"/><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7</Pages>
  <Words>675</Words>
  <Characters>3851</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dc:creator>
  <cp:lastModifiedBy>Рокунова Ольга Васильевна</cp:lastModifiedBy>
  <cp:revision>17</cp:revision>
  <cp:lastPrinted>2017-05-22T12:02:00Z</cp:lastPrinted>
  <dcterms:created xsi:type="dcterms:W3CDTF">2022-10-08T13:21:00Z</dcterms:created>
  <dcterms:modified xsi:type="dcterms:W3CDTF">2022-10-08T13:47:00Z</dcterms:modified>
</cp:coreProperties>
</file>