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  <w:jc w:val="center"/>
      </w:pPr>
      <w:r>
        <w:rPr>
          <w:b w:val="0"/>
          <w:i w:val="0"/>
          <w:sz w:val="24"/>
        </w:rPr>
        <w:t>МИНИСТЕРСТВО НАУКИ И ВЫСШЕГО ОБРАЗОВАНИЯ</w:t>
      </w:r>
    </w:p>
    <w:p>
      <w:pPr>
        <w:spacing w:before="0" w:after="0"/>
        <w:ind w:firstLine="0"/>
        <w:jc w:val="center"/>
      </w:pPr>
      <w:r>
        <w:rPr>
          <w:b w:val="0"/>
          <w:i w:val="0"/>
          <w:sz w:val="24"/>
        </w:rPr>
        <w:t>РОССИЙСКОЙ ФЕДЕРАЦИИ</w:t>
      </w:r>
    </w:p>
    <w:p>
      <w:pPr>
        <w:spacing w:before="0" w:after="0"/>
        <w:ind w:firstLine="0"/>
        <w:jc w:val="center"/>
      </w:pPr>
      <w:r>
        <w:rPr>
          <w:b w:val="0"/>
          <w:i w:val="0"/>
          <w:sz w:val="24"/>
        </w:rPr>
        <w:t>Федеральное государственное автономное образовательное учреждение</w:t>
      </w:r>
    </w:p>
    <w:p>
      <w:pPr>
        <w:spacing w:before="0" w:after="0"/>
        <w:ind w:firstLine="0"/>
        <w:jc w:val="center"/>
      </w:pPr>
      <w:r>
        <w:rPr>
          <w:b w:val="0"/>
          <w:i w:val="0"/>
          <w:sz w:val="24"/>
        </w:rPr>
        <w:t>высшего образования</w:t>
      </w:r>
    </w:p>
    <w:p>
      <w:pPr>
        <w:spacing w:before="0" w:after="0"/>
        <w:ind w:firstLine="0"/>
        <w:jc w:val="center"/>
      </w:pPr>
      <w:r>
        <w:rPr>
          <w:b w:val="0"/>
          <w:i w:val="0"/>
          <w:sz w:val="24"/>
        </w:rPr>
        <w:t>«Национальный исследовательский Нижегородский государственный</w:t>
      </w:r>
    </w:p>
    <w:p>
      <w:pPr>
        <w:spacing w:before="0" w:after="0"/>
        <w:ind w:firstLine="0"/>
        <w:jc w:val="center"/>
      </w:pPr>
      <w:r>
        <w:rPr>
          <w:b w:val="0"/>
          <w:i w:val="0"/>
          <w:sz w:val="24"/>
        </w:rPr>
        <w:t>университет им. Н.И. Лобачевского»</w:t>
      </w:r>
    </w:p>
    <w:p>
      <w:pPr>
        <w:spacing w:before="120" w:after="0"/>
        <w:ind w:firstLine="0"/>
        <w:jc w:val="center"/>
      </w:pPr>
      <w:r>
        <w:rPr>
          <w:b w:val="0"/>
          <w:i w:val="0"/>
          <w:sz w:val="24"/>
        </w:rPr>
        <w:t>Институт экономики и предпринимательства</w:t>
      </w:r>
    </w:p>
    <w:p>
      <w:pPr>
        <w:spacing w:before="0" w:after="0"/>
        <w:ind w:firstLine="0"/>
        <w:jc w:val="center"/>
      </w:pPr>
      <w:r>
        <w:rPr>
          <w:b w:val="0"/>
          <w:i w:val="0"/>
          <w:sz w:val="24"/>
        </w:rPr>
        <w:t>Кафедра финансов и кредита</w:t>
      </w:r>
    </w:p>
    <w:p>
      <w:pPr>
        <w:spacing w:before="320" w:after="0"/>
        <w:ind w:firstLine="0"/>
        <w:jc w:val="center"/>
      </w:pPr>
      <w:r>
        <w:rPr>
          <w:b/>
          <w:i w:val="0"/>
        </w:rPr>
        <w:t>ПРАКТИЧЕСКОЕ ЗАДАНИЕ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  <w:t>по дисциплине «Аудит»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  <w:t>Уровень существенности и признаки «положительного» баланса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  <w:t>АО «Транспневматика» (отчётность за 2014 год)</w:t>
      </w:r>
    </w:p>
    <w:p>
      <w:pPr>
        <w:spacing w:before="240" w:after="0"/>
        <w:ind w:firstLine="0"/>
        <w:jc w:val="right"/>
      </w:pPr>
      <w:r>
        <w:rPr>
          <w:b w:val="0"/>
          <w:i w:val="0"/>
          <w:sz w:val="26"/>
        </w:rPr>
        <w:t>Выполнил: студент 3 курса, группа 3524Б6ЭКэп1,</w:t>
      </w:r>
    </w:p>
    <w:p>
      <w:pPr>
        <w:spacing w:before="0" w:after="0"/>
        <w:ind w:firstLine="0"/>
        <w:jc w:val="right"/>
      </w:pPr>
      <w:r>
        <w:rPr>
          <w:b w:val="0"/>
          <w:i w:val="0"/>
          <w:sz w:val="26"/>
        </w:rPr>
        <w:t>направление 38.03.01 «Экономика»,</w:t>
      </w:r>
    </w:p>
    <w:p>
      <w:pPr>
        <w:spacing w:before="0" w:after="0"/>
        <w:ind w:firstLine="0"/>
        <w:jc w:val="right"/>
      </w:pPr>
      <w:r>
        <w:rPr>
          <w:b w:val="0"/>
          <w:i w:val="0"/>
          <w:sz w:val="26"/>
        </w:rPr>
        <w:t>профиль «Экономика, международный бизнес</w:t>
      </w:r>
    </w:p>
    <w:p>
      <w:pPr>
        <w:spacing w:before="0" w:after="0"/>
        <w:ind w:firstLine="0"/>
        <w:jc w:val="right"/>
      </w:pPr>
      <w:r>
        <w:rPr>
          <w:b w:val="0"/>
          <w:i w:val="0"/>
          <w:sz w:val="26"/>
        </w:rPr>
        <w:t>и предпринимательство»</w:t>
      </w:r>
    </w:p>
    <w:p>
      <w:pPr>
        <w:spacing w:before="0" w:after="0"/>
        <w:ind w:firstLine="0"/>
        <w:jc w:val="right"/>
      </w:pPr>
      <w:r>
        <w:rPr>
          <w:b w:val="0"/>
          <w:i w:val="0"/>
          <w:sz w:val="26"/>
        </w:rPr>
        <w:t>Сомов Никита Владимирович</w:t>
      </w:r>
    </w:p>
    <w:p>
      <w:pPr>
        <w:spacing w:before="240" w:after="200"/>
        <w:ind w:firstLine="0"/>
        <w:jc w:val="center"/>
      </w:pPr>
      <w:r>
        <w:rPr>
          <w:b w:val="0"/>
          <w:i w:val="0"/>
        </w:rPr>
        <w:t>Нижний Новгород, 2026</w:t>
      </w:r>
    </w:p>
    <w:p>
      <w:pPr>
        <w:keepNext/>
        <w:spacing w:before="120" w:after="120"/>
        <w:ind w:firstLine="0"/>
        <w:jc w:val="left"/>
      </w:pPr>
      <w:r>
        <w:rPr>
          <w:b/>
          <w:i w:val="0"/>
        </w:rPr>
        <w:t>Задание 1. Уровень существенности и удельная существенность</w:t>
      </w:r>
    </w:p>
    <w:p>
      <w:pPr>
        <w:spacing w:before="0" w:after="0"/>
        <w:ind w:firstLine="709"/>
        <w:jc w:val="both"/>
      </w:pPr>
      <w:r>
        <w:rPr>
          <w:b w:val="0"/>
          <w:i w:val="0"/>
        </w:rPr>
        <w:t>Исходные данные — бухгалтерский баланс АО «Транспневматика» на 31.12.2014, отчёт о финансовых результатах за 2014 год и пояснения по строке «Запасы». Все суммы — в тыс. руб.</w:t>
      </w:r>
    </w:p>
    <w:p>
      <w:pPr>
        <w:keepNext/>
        <w:spacing w:before="240" w:after="120"/>
        <w:ind w:firstLine="0"/>
        <w:jc w:val="left"/>
      </w:pPr>
      <w:r>
        <w:rPr>
          <w:b/>
          <w:i w:val="0"/>
        </w:rPr>
        <w:t>1.1. СБФО по базовым отчётным показателям</w:t>
      </w:r>
    </w:p>
    <w:p>
      <w:pPr>
        <w:spacing w:before="0" w:after="0"/>
        <w:ind w:firstLine="709"/>
        <w:jc w:val="both"/>
      </w:pPr>
      <w:r>
        <w:rPr>
          <w:b w:val="0"/>
          <w:i w:val="0"/>
        </w:rPr>
        <w:t>Значение для нахождения уровня существенности по каждому базовому показателю равно произведению показателя на установленную долю: 5 % для прибыли до налогообложения, 2 % для выручки, валюты баланса и общих затрат, 10 % для собственного капитала.</w:t>
      </w:r>
    </w:p>
    <w:p>
      <w:pPr>
        <w:spacing w:before="0" w:after="0"/>
        <w:ind w:firstLine="709"/>
        <w:jc w:val="both"/>
      </w:pPr>
      <w:r>
        <w:rPr>
          <w:b w:val="0"/>
          <w:i w:val="0"/>
        </w:rPr>
        <w:t>Управленческие расходы за 2014 год по стр. 2220 не показаны (прочерк), поэтому общие затраты равны сумме себестоимости продаж и коммерческих расходов: 2 662 114 + 137 770 = 2 799 884 тыс. руб.</w:t>
      </w:r>
    </w:p>
    <w:p>
      <w:pPr>
        <w:keepNext/>
        <w:spacing w:before="120" w:after="0"/>
        <w:ind w:firstLine="0"/>
        <w:jc w:val="left"/>
      </w:pPr>
      <w:r>
        <w:rPr>
          <w:b w:val="0"/>
          <w:i w:val="0"/>
        </w:rPr>
        <w:t>Таблица 1 — Расчёт значений для нахождения уровня существенности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  <w:cantSplit w:val="true"/>
        </w:trPr>
        <w:tc>
          <w:tcPr>
            <w:tcW w:type="dxa" w:w="454"/>
            <w:vAlign w:val="center"/>
            <w:shd w:val="clear" w:color="auto" w:fill="E7E6E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type="dxa" w:w="2608"/>
            <w:vAlign w:val="center"/>
            <w:shd w:val="clear" w:color="auto" w:fill="E7E6E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Базовый показатель</w:t>
            </w:r>
          </w:p>
        </w:tc>
        <w:tc>
          <w:tcPr>
            <w:tcW w:type="dxa" w:w="2041"/>
            <w:vAlign w:val="center"/>
            <w:shd w:val="clear" w:color="auto" w:fill="E7E6E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type="dxa" w:w="1587"/>
            <w:vAlign w:val="center"/>
            <w:shd w:val="clear" w:color="auto" w:fill="E7E6E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Значение, тыс. руб.</w:t>
            </w:r>
          </w:p>
        </w:tc>
        <w:tc>
          <w:tcPr>
            <w:tcW w:type="dxa" w:w="850"/>
            <w:vAlign w:val="center"/>
            <w:shd w:val="clear" w:color="auto" w:fill="E7E6E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Доля, %</w:t>
            </w:r>
          </w:p>
        </w:tc>
        <w:tc>
          <w:tcPr>
            <w:tcW w:type="dxa" w:w="1814"/>
            <w:vAlign w:val="center"/>
            <w:shd w:val="clear" w:color="auto" w:fill="E7E6E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 для УС, тыс. руб.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shd w:val="clear" w:color="auto" w:fill="F2F2F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608"/>
            <w:vAlign w:val="center"/>
            <w:shd w:val="clear" w:color="auto" w:fill="F2F2F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Прибыль до налогообложения (наим., искл.)</w:t>
            </w:r>
          </w:p>
        </w:tc>
        <w:tc>
          <w:tcPr>
            <w:tcW w:type="dxa" w:w="2041"/>
            <w:vAlign w:val="center"/>
            <w:shd w:val="clear" w:color="auto" w:fill="F2F2F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стр. 2300 ОФР</w:t>
            </w:r>
          </w:p>
        </w:tc>
        <w:tc>
          <w:tcPr>
            <w:tcW w:type="dxa" w:w="1587"/>
            <w:vAlign w:val="center"/>
            <w:shd w:val="clear" w:color="auto" w:fill="F2F2F2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197 091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9 854,5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Выручка (без НДС)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стр. 2110 ОФР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3 139 206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62 784,1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Валюта баланса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стр. 1600 ББ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3 500 752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70 015,0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shd w:val="clear" w:color="auto" w:fill="F2F2F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2608"/>
            <w:vAlign w:val="center"/>
            <w:shd w:val="clear" w:color="auto" w:fill="F2F2F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Собственный капитал (наиб., искл.)</w:t>
            </w:r>
          </w:p>
        </w:tc>
        <w:tc>
          <w:tcPr>
            <w:tcW w:type="dxa" w:w="2041"/>
            <w:vAlign w:val="center"/>
            <w:shd w:val="clear" w:color="auto" w:fill="F2F2F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стр. 1300 ББ</w:t>
            </w:r>
          </w:p>
        </w:tc>
        <w:tc>
          <w:tcPr>
            <w:tcW w:type="dxa" w:w="1587"/>
            <w:vAlign w:val="center"/>
            <w:shd w:val="clear" w:color="auto" w:fill="F2F2F2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2 731 361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273 136,1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Общие затраты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стр. 2120 + 2210 + 2220 ОФР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2 799 884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55 997,7</w:t>
            </w:r>
          </w:p>
        </w:tc>
      </w:tr>
    </w:tbl>
    <w:p>
      <w:pPr>
        <w:spacing w:line="240" w:lineRule="auto"/>
      </w:pPr>
    </w:p>
    <w:p>
      <w:pPr>
        <w:spacing w:before="0" w:after="0"/>
        <w:ind w:firstLine="709"/>
        <w:jc w:val="both"/>
      </w:pPr>
      <w:r>
        <w:rPr>
          <w:b w:val="0"/>
          <w:i w:val="0"/>
        </w:rPr>
        <w:t>Наибольшее значение даёт собственный капитал (273 136,1 тыс. руб.), наименьшее — прибыль до налогообложения (9 854,5 тыс. руб.). Они отличаются от среднего по пяти показателям (94 357,5 тыс. руб.) на +189,5 % и −89,6 % и по условию исключаются. Среднее по оставшимся трём показателям: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  <w:t>(62 784,1 + 70 015,0 + 55 997,7) / 3 = 62 932,3 тыс. руб.</w:t>
      </w:r>
    </w:p>
    <w:p>
      <w:pPr>
        <w:spacing w:before="0" w:after="0"/>
        <w:ind w:firstLine="709"/>
        <w:jc w:val="both"/>
      </w:pPr>
      <w:r>
        <w:rPr>
          <w:b w:val="0"/>
          <w:i w:val="0"/>
        </w:rPr>
        <w:t>Допустимое округление — не более 20 %, то есть в пределах от 50 345,8 до 75 518,7 тыс. руб. Среднее округляем в меньшую сторону до 60 000 тыс. руб.: более низкий порог делает проверку строже. Отклонение от неокруглённого значения: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  <w:t>(62 932,3 − 60 000) / 62 932,3 × 100 % = 4,66 % &lt; 20 %.</w:t>
      </w:r>
    </w:p>
    <w:p>
      <w:pPr>
        <w:spacing w:before="0" w:after="0"/>
        <w:ind w:firstLine="709"/>
        <w:jc w:val="both"/>
      </w:pPr>
      <w:r>
        <w:rPr>
          <w:b/>
        </w:rPr>
        <w:t xml:space="preserve">Вывод: </w:t>
      </w:r>
      <w:r>
        <w:rPr>
          <w:b w:val="0"/>
        </w:rPr>
        <w:t>уровень существенности (СБФО) АО «Транспневматика» за 2014 год — 60 000 тыс. руб., это 1,71 % валюты баланса. Искажения отчётности в меньшей сумме не влияют на решения пользователей.</w:t>
      </w:r>
    </w:p>
    <w:p>
      <w:pPr>
        <w:keepNext/>
        <w:spacing w:before="240" w:after="120"/>
        <w:ind w:firstLine="0"/>
        <w:jc w:val="left"/>
      </w:pPr>
      <w:r>
        <w:rPr>
          <w:b/>
          <w:i w:val="0"/>
        </w:rPr>
        <w:t>1.2. Удельная существенность по статье «Запасы»</w:t>
      </w:r>
    </w:p>
    <w:p>
      <w:pPr>
        <w:spacing w:before="0" w:after="0"/>
        <w:ind w:firstLine="709"/>
        <w:jc w:val="both"/>
      </w:pPr>
      <w:r>
        <w:rPr>
          <w:b w:val="0"/>
          <w:i w:val="0"/>
        </w:rPr>
        <w:t>Общий уровень существенности распределяется между статьями баланса пропорционально их удельному весу в валюте баланса: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  <w:t>УС(статьи) = СБФО × Статья / Валюта баланса.</w:t>
      </w:r>
    </w:p>
    <w:p>
      <w:pPr>
        <w:spacing w:before="0" w:after="0"/>
        <w:ind w:firstLine="709"/>
        <w:jc w:val="both"/>
      </w:pPr>
      <w:r>
        <w:rPr>
          <w:b w:val="0"/>
          <w:i w:val="0"/>
        </w:rPr>
        <w:t>Удельный вес запасов (стр. 1210) в валюте баланса (стр. 1600):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  <w:t>979 986 / 3 500 752 × 100 % = 27,99 %.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  <w:t>УС(запасы) = 60 000 × 0,2799 = 16 796,2 тыс. руб.</w:t>
      </w:r>
    </w:p>
    <w:p>
      <w:pPr>
        <w:spacing w:before="0" w:after="0"/>
        <w:ind w:firstLine="709"/>
        <w:jc w:val="both"/>
      </w:pPr>
      <w:r>
        <w:rPr>
          <w:b/>
        </w:rPr>
        <w:t xml:space="preserve">Вывод: </w:t>
      </w:r>
      <w:r>
        <w:rPr>
          <w:b w:val="0"/>
        </w:rPr>
        <w:t>удельная существенность по статье «Запасы» — 16 796,2 тыс. руб. (≈ 16 796 тыс. руб.). Выявленные по запасам ошибки меньше этой суммы аудитор может признать несущественными.</w:t>
      </w:r>
    </w:p>
    <w:p>
      <w:pPr>
        <w:keepNext/>
        <w:spacing w:before="240" w:after="120"/>
        <w:ind w:firstLine="0"/>
        <w:jc w:val="left"/>
      </w:pPr>
      <w:r>
        <w:rPr>
          <w:b/>
          <w:i w:val="0"/>
        </w:rPr>
        <w:t>1.3. Удельная существенность для объекта аудита «Готовая продукция»</w:t>
      </w:r>
    </w:p>
    <w:p>
      <w:pPr>
        <w:spacing w:before="0" w:after="0"/>
        <w:ind w:firstLine="709"/>
        <w:jc w:val="both"/>
      </w:pPr>
      <w:r>
        <w:rPr>
          <w:b w:val="0"/>
          <w:i w:val="0"/>
        </w:rPr>
        <w:t>В балансе готовая продукция входит в строку «Запасы», её остаток берём из пояснений: стр. 5403, гр. 8 — 370 697 тыс. руб. на 31.12.2014. Удельная существенность статьи «Запасы» распределяется между группами запасов пропорционально их доле: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  <w:t>Доля готовой продукции в запасах = 370 697 / 979 986 × 100 % = 37,83 %.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  <w:t>УС(готовая продукция) = 16 796,2 × 0,3783 = 6 353,4 тыс. руб.</w:t>
      </w:r>
    </w:p>
    <w:p>
      <w:pPr>
        <w:spacing w:before="0" w:after="0"/>
        <w:ind w:firstLine="709"/>
        <w:jc w:val="both"/>
      </w:pPr>
      <w:r>
        <w:rPr>
          <w:b w:val="0"/>
          <w:i w:val="0"/>
        </w:rPr>
        <w:t>Проверка через валюту баланса даёт то же значение: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  <w:t>60 000 × 370 697 / 3 500 752 = 6 353,4 тыс. руб.</w:t>
      </w:r>
    </w:p>
    <w:p>
      <w:pPr>
        <w:keepNext/>
        <w:spacing w:before="120" w:after="0"/>
        <w:ind w:firstLine="0"/>
        <w:jc w:val="left"/>
      </w:pPr>
      <w:r>
        <w:rPr>
          <w:b w:val="0"/>
          <w:i w:val="0"/>
        </w:rPr>
        <w:t>Таблица 2 — Удельная существенность по группам запасов на 31.12.2014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2608"/>
            <w:vAlign w:val="center"/>
            <w:shd w:val="clear" w:color="auto" w:fill="E7E6E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Группа запасов</w:t>
            </w:r>
          </w:p>
        </w:tc>
        <w:tc>
          <w:tcPr>
            <w:tcW w:type="dxa" w:w="1474"/>
            <w:vAlign w:val="center"/>
            <w:shd w:val="clear" w:color="auto" w:fill="E7E6E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Сумма, тыс. руб.</w:t>
            </w:r>
          </w:p>
        </w:tc>
        <w:tc>
          <w:tcPr>
            <w:tcW w:type="dxa" w:w="1361"/>
            <w:vAlign w:val="center"/>
            <w:shd w:val="clear" w:color="auto" w:fill="E7E6E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Доля в запасах, %</w:t>
            </w:r>
          </w:p>
        </w:tc>
        <w:tc>
          <w:tcPr>
            <w:tcW w:type="dxa" w:w="1587"/>
            <w:vAlign w:val="center"/>
            <w:shd w:val="clear" w:color="auto" w:fill="E7E6E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Доля в валюте баланса, %</w:t>
            </w:r>
          </w:p>
        </w:tc>
        <w:tc>
          <w:tcPr>
            <w:tcW w:type="dxa" w:w="2324"/>
            <w:vAlign w:val="center"/>
            <w:shd w:val="clear" w:color="auto" w:fill="E7E6E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Удельная существенность, тыс. руб.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Сырьё и материалы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454 350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46,36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12,98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7 787,2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Незавершённое производство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151 046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15,41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4,31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2 588,8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2F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Готовая продукция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/>
                <w:sz w:val="24"/>
              </w:rPr>
              <w:t>370 697</w:t>
            </w:r>
          </w:p>
        </w:tc>
        <w:tc>
          <w:tcPr>
            <w:tcW w:type="dxa" w:w="1361"/>
            <w:vAlign w:val="center"/>
            <w:shd w:val="clear" w:color="auto" w:fill="F2F2F2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/>
                <w:sz w:val="24"/>
              </w:rPr>
              <w:t>37,83</w:t>
            </w:r>
          </w:p>
        </w:tc>
        <w:tc>
          <w:tcPr>
            <w:tcW w:type="dxa" w:w="1587"/>
            <w:vAlign w:val="center"/>
            <w:shd w:val="clear" w:color="auto" w:fill="F2F2F2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/>
                <w:sz w:val="24"/>
              </w:rPr>
              <w:t>10,59</w:t>
            </w:r>
          </w:p>
        </w:tc>
        <w:tc>
          <w:tcPr>
            <w:tcW w:type="dxa" w:w="2324"/>
            <w:vAlign w:val="center"/>
            <w:shd w:val="clear" w:color="auto" w:fill="F2F2F2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/>
                <w:sz w:val="24"/>
              </w:rPr>
              <w:t>6 353,4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Товары отгруженные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0,00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0,00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0,0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Расходы будущих периодов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3 893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0,40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0,11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4"/>
              </w:rPr>
              <w:t>66,7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Запасы — всего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b/>
                <w:sz w:val="24"/>
              </w:rPr>
              <w:t>979 986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b/>
                <w:sz w:val="24"/>
              </w:rPr>
              <w:t>100,00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b/>
                <w:sz w:val="24"/>
              </w:rPr>
              <w:t>27,99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b/>
                <w:sz w:val="24"/>
              </w:rPr>
              <w:t>16 796,2</w:t>
            </w:r>
          </w:p>
        </w:tc>
      </w:tr>
    </w:tbl>
    <w:p>
      <w:pPr>
        <w:spacing w:line="240" w:lineRule="auto"/>
      </w:pPr>
    </w:p>
    <w:p>
      <w:pPr>
        <w:spacing w:before="0" w:after="0"/>
        <w:ind w:firstLine="709"/>
        <w:jc w:val="both"/>
      </w:pPr>
      <w:r>
        <w:rPr>
          <w:b/>
        </w:rPr>
        <w:t xml:space="preserve">Вывод: </w:t>
      </w:r>
      <w:r>
        <w:rPr>
          <w:b w:val="0"/>
        </w:rPr>
        <w:t xml:space="preserve">удельная существенность для объекта аудита «Готовая продукция» — 6 353,4 тыс. руб. (≈ 6 353 тыс. руб.). </w:t>
      </w:r>
      <w:r>
        <w:rPr>
          <w:b w:val="0"/>
        </w:rPr>
        <w:t>Объект требует внимания: за 2014 год остаток готовой продукции вырос с 214 046 до 370 697 тыс. руб. (на 73,2 %), а выручка снизилась на 7,0 %. Это повышает риск искажения оценки готовой продукции (затоваривание, неликвиды, списание до чистой стоимости продажи).</w:t>
      </w:r>
    </w:p>
    <w:p>
      <w:pPr>
        <w:keepNext/>
        <w:spacing w:before="240" w:after="120"/>
        <w:ind w:firstLine="0"/>
        <w:jc w:val="left"/>
      </w:pPr>
      <w:r>
        <w:rPr>
          <w:b/>
          <w:i w:val="0"/>
        </w:rPr>
        <w:t>Задание 2. Оценка признаков «положительного» баланса</w:t>
      </w:r>
    </w:p>
    <w:p>
      <w:pPr>
        <w:spacing w:before="0" w:after="0"/>
        <w:ind w:firstLine="709"/>
        <w:jc w:val="both"/>
      </w:pPr>
      <w:r>
        <w:rPr>
          <w:b w:val="0"/>
          <w:i w:val="0"/>
        </w:rPr>
        <w:t>Для оценки заполнена аналитическая таблица по данным баланса на 31.12.2013 и 31.12.2014 и отчёта о финансовых результатах за 2013 и 2014 годы. Заёмный капитал — сумма долгосрочных и краткосрочных обязательств. Доля собственных средств в оборотных активах рассчитана как (стр. 1300 − стр. 1100) / стр. 1200 × 100 %; для неё абсолютное отклонение дано в процентных пунктах.</w:t>
      </w:r>
    </w:p>
    <w:p>
      <w:pPr>
        <w:keepNext/>
        <w:spacing w:before="120" w:after="0"/>
        <w:ind w:firstLine="0"/>
        <w:jc w:val="left"/>
      </w:pPr>
      <w:r>
        <w:rPr>
          <w:b w:val="0"/>
          <w:i w:val="0"/>
        </w:rPr>
        <w:t>Таблица 3 — Динамика показателей АО «Транспневматика»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  <w:cantSplit w:val="true"/>
        </w:trPr>
        <w:tc>
          <w:tcPr>
            <w:tcW w:type="dxa" w:w="2608"/>
            <w:vAlign w:val="center"/>
            <w:shd w:val="clear" w:color="auto" w:fill="E7E6E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Показатели</w:t>
            </w:r>
          </w:p>
        </w:tc>
        <w:tc>
          <w:tcPr>
            <w:tcW w:type="dxa" w:w="1361"/>
            <w:vAlign w:val="center"/>
            <w:shd w:val="clear" w:color="auto" w:fill="E7E6E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на 31 дек. 2013 г.</w:t>
            </w:r>
          </w:p>
        </w:tc>
        <w:tc>
          <w:tcPr>
            <w:tcW w:type="dxa" w:w="1361"/>
            <w:vAlign w:val="center"/>
            <w:shd w:val="clear" w:color="auto" w:fill="E7E6E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на 31 дек. 2014 г.</w:t>
            </w:r>
          </w:p>
        </w:tc>
        <w:tc>
          <w:tcPr>
            <w:tcW w:type="dxa" w:w="1474"/>
            <w:vAlign w:val="center"/>
            <w:shd w:val="clear" w:color="auto" w:fill="E7E6E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Абсолютное отклонение (гр. 3 − гр. 2), тыс. руб.</w:t>
            </w:r>
          </w:p>
        </w:tc>
        <w:tc>
          <w:tcPr>
            <w:tcW w:type="dxa" w:w="1304"/>
            <w:vAlign w:val="center"/>
            <w:shd w:val="clear" w:color="auto" w:fill="E7E6E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Темп роста (гр. 3 / гр. 2 × 100), %</w:t>
            </w:r>
          </w:p>
        </w:tc>
        <w:tc>
          <w:tcPr>
            <w:tcW w:type="dxa" w:w="1247"/>
            <w:vAlign w:val="center"/>
            <w:shd w:val="clear" w:color="auto" w:fill="E7E6E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Темп прироста (гр. 5 − 100), %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2"/>
              </w:rPr>
              <w:t>6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1. Внеоборотные активы (стр. 1100)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1 533 750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1 643 615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+109 865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107,16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+7,16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2. Оборотные активы (стр. 1200)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1 838 703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1 857 137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+18 434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101,00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+1,00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3. Активы (имущество) всего (стр. 1600)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3 372 453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3 500 752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+128 299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103,80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+3,80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4. Дебиторская задолженность (стр. 1230)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490 512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756 782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+266 270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154,28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+54,28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5. Денежные средства (стр. 1250)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507 757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52 635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−455 122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10,37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−89,63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6. Собственный капитал (стр. 1300)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2 722 277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2 731 361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+9 084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100,33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+0,33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7. Прибыль (чистая прибыль, стр. 2400)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200 305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127 358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−72 947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63,58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−36,42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8. Заёмный капитал (стр. 1400 + 1500)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650 176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769 391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+119 215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118,34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+18,34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9. Кредиторская задолженность (стр. 1520)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219 140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232 181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+13 041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105,95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+5,95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10. Доля собственных средств в оборотных активах, %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64,64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58,57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−6,07 п.п.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90,61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b w:val="0"/>
                <w:sz w:val="22"/>
              </w:rPr>
              <w:t>−9,39</w:t>
            </w:r>
          </w:p>
        </w:tc>
      </w:tr>
    </w:tbl>
    <w:p>
      <w:pPr>
        <w:spacing w:line="240" w:lineRule="auto"/>
      </w:pPr>
    </w:p>
    <w:p>
      <w:pPr>
        <w:keepNext/>
        <w:spacing w:before="120" w:after="0"/>
        <w:ind w:firstLine="0"/>
        <w:jc w:val="left"/>
      </w:pPr>
      <w:r>
        <w:rPr>
          <w:b w:val="0"/>
          <w:i w:val="0"/>
        </w:rPr>
        <w:t>Таблица 4 — Соблюдение признаков «положительного» баланса на 31.12.2014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454"/>
            <w:vAlign w:val="center"/>
            <w:shd w:val="clear" w:color="auto" w:fill="E7E6E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type="dxa" w:w="3855"/>
            <w:vAlign w:val="center"/>
            <w:shd w:val="clear" w:color="auto" w:fill="E7E6E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Признак «положительного» баланса</w:t>
            </w:r>
          </w:p>
        </w:tc>
        <w:tc>
          <w:tcPr>
            <w:tcW w:type="dxa" w:w="3345"/>
            <w:vAlign w:val="center"/>
            <w:shd w:val="clear" w:color="auto" w:fill="E7E6E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Фактические данные</w:t>
            </w:r>
          </w:p>
        </w:tc>
        <w:tc>
          <w:tcPr>
            <w:tcW w:type="dxa" w:w="1701"/>
            <w:vAlign w:val="center"/>
            <w:shd w:val="clear" w:color="auto" w:fill="E7E6E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Выполнение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Валюта баланса на конец периода больше, чем на начало</w:t>
            </w:r>
          </w:p>
        </w:tc>
        <w:tc>
          <w:tcPr>
            <w:tcW w:type="dxa" w:w="3345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3 500 752 &gt; 3 372 453; прирост +3,80 %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Темп прироста оборотных активов выше темпа прироста внеоборотных</w:t>
            </w:r>
          </w:p>
        </w:tc>
        <w:tc>
          <w:tcPr>
            <w:tcW w:type="dxa" w:w="3345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+1,00 % &lt; +7,16 %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нет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Собственный капитал превышает заёмный</w:t>
            </w:r>
          </w:p>
        </w:tc>
        <w:tc>
          <w:tcPr>
            <w:tcW w:type="dxa" w:w="3345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2 731 361 &gt; 769 391 (в 3,55 раза)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Темп роста собственного капитала выше темпа роста заёмного</w:t>
            </w:r>
          </w:p>
        </w:tc>
        <w:tc>
          <w:tcPr>
            <w:tcW w:type="dxa" w:w="3345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100,33 % &lt; 118,34 %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нет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Темпы прироста дебиторской и кредиторской задолженности примерно одинаковы</w:t>
            </w:r>
          </w:p>
        </w:tc>
        <w:tc>
          <w:tcPr>
            <w:tcW w:type="dxa" w:w="3345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ДЗ +54,28 %, КЗ +5,95 %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нет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Доля собственных средств в оборотных активах более 10 %</w:t>
            </w:r>
          </w:p>
        </w:tc>
        <w:tc>
          <w:tcPr>
            <w:tcW w:type="dxa" w:w="3345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58,57 % (2013 г. — 64,64 %)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 балансе нет непокрытого убытка</w:t>
            </w:r>
          </w:p>
        </w:tc>
        <w:tc>
          <w:tcPr>
            <w:tcW w:type="dxa" w:w="334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нераспределённая прибыль 2 635 111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да</w:t>
            </w:r>
          </w:p>
        </w:tc>
      </w:tr>
    </w:tbl>
    <w:p>
      <w:pPr>
        <w:spacing w:line="240" w:lineRule="auto"/>
      </w:pPr>
    </w:p>
    <w:p>
      <w:pPr>
        <w:spacing w:before="0" w:after="0"/>
        <w:ind w:firstLine="709"/>
        <w:jc w:val="both"/>
      </w:pPr>
      <w:r>
        <w:rPr>
          <w:b w:val="0"/>
          <w:i w:val="0"/>
        </w:rPr>
        <w:t>Из семи признаков выполнены 4 (№ 1, 3, 6, 7), не выполнены 3 (№ 2, 4, 5).</w:t>
      </w:r>
    </w:p>
    <w:p>
      <w:pPr>
        <w:spacing w:before="0" w:after="0"/>
        <w:ind w:firstLine="709"/>
        <w:jc w:val="both"/>
      </w:pPr>
      <w:r>
        <w:rPr>
          <w:b w:val="0"/>
          <w:i w:val="0"/>
        </w:rPr>
        <w:t>Выполненные признаки говорят о высокой финансовой устойчивости: собственный капитал составляет 78,0 % пассива, собственными средствами покрыто 58,6 % оборотных активов при нормативе 10 %, убытков нет, валюта баланса растёт.</w:t>
      </w:r>
    </w:p>
    <w:p>
      <w:pPr>
        <w:spacing w:before="0" w:after="0"/>
        <w:ind w:firstLine="709"/>
        <w:jc w:val="both"/>
      </w:pPr>
      <w:r>
        <w:rPr>
          <w:b w:val="0"/>
          <w:i w:val="0"/>
        </w:rPr>
        <w:t>Невыполненные признаки и другие показатели таблицы 3 показывают ухудшение за 2014 год:</w:t>
      </w:r>
    </w:p>
    <w:p>
      <w:pPr>
        <w:pStyle w:val="ListBullet"/>
        <w:jc w:val="both"/>
      </w:pPr>
      <w:r>
        <w:t>прирост вложений во внеоборотные активы (+7,16 %) в семь раз обгоняет прирост оборотных (+1,00 %);</w:t>
      </w:r>
    </w:p>
    <w:p>
      <w:pPr>
        <w:pStyle w:val="ListBullet"/>
        <w:jc w:val="both"/>
      </w:pPr>
      <w:r>
        <w:t>заёмный капитал растёт быстрее собственного (+18,34 % против +0,33 %), появились краткосрочные займы 50 000 тыс. руб.;</w:t>
      </w:r>
    </w:p>
    <w:p>
      <w:pPr>
        <w:pStyle w:val="ListBullet"/>
        <w:jc w:val="both"/>
      </w:pPr>
      <w:r>
        <w:t>дебиторская задолженность выросла на 54,3 %, кредиторская — только на 6,0 %: средства отвлекаются в расчёты с покупателями;</w:t>
      </w:r>
    </w:p>
    <w:p>
      <w:pPr>
        <w:pStyle w:val="ListBullet"/>
        <w:jc w:val="both"/>
      </w:pPr>
      <w:r>
        <w:t>денежные средства сократились с 507 757 до 52 635 тыс. руб. (в 9,6 раза), чистая прибыль — на 36,4 %, выручка — на 7,0 %.</w:t>
      </w:r>
    </w:p>
    <w:p>
      <w:pPr>
        <w:spacing w:before="0" w:after="0"/>
        <w:ind w:firstLine="709"/>
        <w:jc w:val="both"/>
      </w:pPr>
      <w:r>
        <w:rPr>
          <w:b/>
        </w:rPr>
        <w:t xml:space="preserve">Вывод: </w:t>
      </w:r>
      <w:r>
        <w:rPr>
          <w:b w:val="0"/>
        </w:rPr>
        <w:t>отчётность АО «Транспневматика» на 31.12.2014 соблюдает признаки «положительного» баланса лишь частично. Структура капитала устойчивая, но динамика отрицательная. Для аудитора это зоны повышенного риска существенного искажения: дебиторская задолженность (реальность долгов, резерв по сомнительным долгам), запасы и готовая продукция (оценка, неликвиды), денежные средства и прочие расходы, которые выросли с 363 474 до 687 959 тыс. руб. Отдельно следует проверить сопоставимость управленческих расходов: в 2013 году они показаны в сумме 432 967 тыс. руб., в 2014 году — прочерк.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