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 — Master’s student</w:t>
      </w:r>
    </w:p>
    <w:p>
      <w:pPr>
        <w:pStyle w:val="Affiliation"/>
      </w:pPr>
      <w:r>
        <w:t xml:space="preserve">DSTU, Rostov-on-Don, Russia</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Next-Read timing could inform storage policies. Predictors at Write arrival must use available history, not future Reads. We evaluate prediction and error tolerance, not a deployed policy or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evaluate proj_1 and prn_1 under same-start and range matching. Three pooled mean comparisons succeed, none meets 90%, and four paired-cohort means fail. Undetermined comparisons remain distinct from failures; no general predictive advantage is claimed.</w:t>
      </w:r>
    </w:p>
    <w:p>
      <w:pPr>
        <w:pStyle w:val="IMSHeading1"/>
      </w:pPr>
      <w:r>
        <w:t xml:space="preserve">II. Related Work</w:t>
      </w:r>
    </w:p>
    <w:p>
      <w:pPr>
        <w:pStyle w:val="IMSBodyText"/>
      </w:pPr>
      <w:r>
        <w:t xml:space="preserve">The MSR Cambridge documentation attributes the traces to Narayanan, Donnelly and Rowstron's Write Off-Loading study [1]. Its abstract describes one-week block-level traces from 36 enterprise volumes in a spinning-disk power-management setting, not a modern SSD benchmark.</w:t>
      </w:r>
    </w:p>
    <w:p>
      <w:pPr>
        <w:pStyle w:val="IMSBodyText"/>
      </w:pPr>
      <w:r>
        <w:t xml:space="preserve">SepBIT infers block-invalidation times and groups data with similar estimates to reduce write amplification in log-structured storage [2]. This differs from next-Read prediction; its outcomes cannot validate our predictor or equate address-level overwrite intervals with physical data-version lifetimes.</w:t>
      </w:r>
    </w:p>
    <w:p>
      <w:pPr>
        <w:pStyle w:val="IMSBodyText"/>
      </w:pPr>
      <w:r>
        <w:t xml:space="preserve">LightGBM is a gradient-boosted decision-tree implementation [3], used alongside an address-median baseline. Features, losses and parameters follow our saved configuration. This limited comparison supports no novelty claim.</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README distinguishes issue Timestamp from completion-duration ResponseTime, which label builders exclude.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size, prior Read/Write counts, time since prior Read/Write, and the most recent Read–Read interval. History uses the same starting Offset even for range labels. Features precede the current Write's history update; missing history is NaN. Equal-timestamp earlier rows can contribute: “earlier” means source-row order, not strictly earlier timestamps. prn_1 inputs use log1p transforms.</w:t>
      </w:r>
    </w:p>
    <w:p>
      <w:pPr>
        <w:pStyle w:val="IMSBodyText"/>
      </w:pPr>
      <w:r>
        <w:t xml:space="preserve">Training uses [0, 72 hours), validation [72, 96 hours), and daily evaluation windows on days 5–7. Labels require target Read issue before their window's exclusive end; unresolved Writes are censored, not given artificial targets. Training spans 72 hours versus at most 24 per evaluation window, with the final boundary clipped to the recorded endpoint. Models and medians remain fixed after training; feature history updates.</w:t>
      </w:r>
    </w:p>
    <w:p>
      <w:pPr>
        <w:pStyle w:val="IMSBodyText"/>
      </w:pPr>
      <w:r>
        <w:t xml:space="preserve">Selection minimizes day-4 observed-Read validation MAE, breaking ties by method name, without a pass-count constraint. proj_1 has three candidates per rule: log-L2, raw-L1 and address median. prn_1 adds mixtures with log-L2 weights 0.75, 0.50 and 0.25, totaling six candidates. Earlier predictors/medians are benchmarks only, giving five evaluated methods per proj_1 rule and eight per prn_1 rule, distinct from the selection pools.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w:t>
      </w:r>
      <w:r>
        <w:rPr>
          <w:i/>
        </w:rPr>
        <w:t xml:space="preserve">e</w:t>
      </w:r>
      <w:r>
        <w:rPr>
          <w:i/>
          <w:vertAlign w:val="subscript"/>
        </w:rPr>
        <w:t xml:space="preserve">i</w:t>
      </w:r>
      <w:r>
        <w:t xml:space="preserve"> = |</w:t>
      </w:r>
      <w:r>
        <w:rPr>
          <w:i/>
        </w:rPr>
        <w:t xml:space="preserve">prediction</w:t>
      </w:r>
      <w:r>
        <w:rPr>
          <w:i/>
          <w:vertAlign w:val="subscript"/>
        </w:rPr>
        <w:t xml:space="preserve">i</w:t>
      </w:r>
      <w:r>
        <w:t xml:space="preserve"> − </w:t>
      </w:r>
      <w:r>
        <w:rPr>
          <w:i/>
        </w:rPr>
        <w:t xml:space="preserve">y</w:t>
      </w:r>
      <w:r>
        <w:rPr>
          <w:i/>
          <w:vertAlign w:val="subscript"/>
        </w:rPr>
        <w:t xml:space="preserve">i</w:t>
      </w:r>
      <w:r>
        <w:t xml:space="preserve">|. All mean comparisons use this same cohort. Partition C into K, with known overwrite delay </w:t>
      </w:r>
      <w:r>
        <w:rPr>
          <w:i/>
        </w:rPr>
        <w:t xml:space="preserve">B</w:t>
      </w:r>
      <w:r>
        <w:rPr>
          <w:i/>
          <w:vertAlign w:val="subscript"/>
        </w:rPr>
        <w:t xml:space="preserve">i</w:t>
      </w:r>
      <w:r>
        <w:t xml:space="preserve">, and U, with unobserved overwrite delay. For i in U, let </w:t>
      </w:r>
      <w:r>
        <w:rPr>
          <w:i/>
        </w:rPr>
        <w:t xml:space="preserve">L</w:t>
      </w:r>
      <w:r>
        <w:rPr>
          <w:i/>
          <w:vertAlign w:val="subscript"/>
        </w:rPr>
        <w:t xml:space="preserve">i</w:t>
      </w:r>
      <w:r>
        <w:t xml:space="preserve"> be the remaining time from Write issue to its observation boundary. </w:t>
      </w:r>
      <w:r>
        <w:rPr>
          <w:i/>
        </w:rPr>
        <w:t xml:space="preserve">L</w:t>
      </w:r>
      <w:r>
        <w:rPr>
          <w:i/>
          <w:vertAlign w:val="subscript"/>
        </w:rPr>
        <w:t xml:space="preserve">i</w:t>
      </w:r>
      <w:r>
        <w:t xml:space="preserve"> is a lower bound, not an imputed overwrite delay.</w:t>
      </w:r>
    </w:p>
    <w:p>
      <w:pPr>
        <w:pStyle w:val="IMSBodyText"/>
      </w:pPr>
      <w:r>
        <w:t xml:space="preserve">The exact finite-cohort lower-bound calculation is:</w:t>
      </w:r>
    </w:p>
    <w:p>
      <w:pPr>
        <w:pStyle w:val="IMSEquation"/>
      </w:pPr>
      <m:oMathPara>
        <m:oMathParaPr>
          <m:jc m:val="center"/>
        </m:oMathParaPr>
        <m:oMath>
          <m:sSub>
            <m:e>
              <m:r>
                <m:rPr>
                  <m:sty m:val="p"/>
                </m:rPr>
                <w:rPr>
                  <w:rFonts w:ascii="Times" w:hAnsi="Times"/>
                  <w:sz w:val="20"/>
                </w:rPr>
                <m:t>M</m:t>
              </m:r>
            </m:e>
            <m:sub>
              <m:r>
                <m:rPr>
                  <m:sty m:val="p"/>
                </m:rPr>
                <w:rPr>
                  <w:rFonts w:ascii="Times" w:hAnsi="Times"/>
                  <w:sz w:val="20"/>
                </w:rPr>
                <m:t>L</m:t>
              </m:r>
            </m:sub>
          </m:sSub>
          <m:r>
            <m:rPr>
              <m:sty m:val="p"/>
            </m:rPr>
            <w:rPr>
              <w:rFonts w:ascii="Times" w:hAnsi="Times"/>
              <w:sz w:val="20"/>
            </w:rPr>
            <m:t> = </m:t>
          </m:r>
          <m:f>
            <m:num>
              <m:sSub>
                <m:e>
                  <m:r>
                    <m:rPr>
                      <m:sty m:val="p"/>
                    </m:rPr>
                    <w:rPr>
                      <w:rFonts w:ascii="Times" w:hAnsi="Times"/>
                      <w:sz w:val="20"/>
                    </w:rPr>
                    <m:t>Σ</m:t>
                  </m:r>
                </m:e>
                <m:sub>
                  <m:r>
                    <m:rPr>
                      <m:sty m:val="p"/>
                    </m:rPr>
                    <w:rPr>
                      <w:rFonts w:ascii="Times" w:hAnsi="Times"/>
                      <w:sz w:val="20"/>
                    </w:rPr>
                    <m:t>i∈K</m:t>
                  </m:r>
                </m:sub>
              </m:sSub>
              <m:sSub>
                <m:e>
                  <m:r>
                    <m:rPr>
                      <m:sty m:val="p"/>
                    </m:rPr>
                    <w:rPr>
                      <w:rFonts w:ascii="Times" w:hAnsi="Times"/>
                      <w:sz w:val="20"/>
                    </w:rPr>
                    <m:t>B</m:t>
                  </m:r>
                </m:e>
                <m:sub>
                  <m:r>
                    <m:rPr>
                      <m:sty m:val="p"/>
                    </m:rPr>
                    <w:rPr>
                      <w:rFonts w:ascii="Times" w:hAnsi="Times"/>
                      <w:sz w:val="20"/>
                    </w:rPr>
                    <m:t>i</m:t>
                  </m:r>
                </m:sub>
              </m:sSub>
              <m:r>
                <m:rPr>
                  <m:sty m:val="p"/>
                </m:rPr>
                <w:rPr>
                  <w:rFonts w:ascii="Times" w:hAnsi="Times"/>
                  <w:sz w:val="20"/>
                </w:rPr>
                <m:t> + </m:t>
              </m:r>
              <m:sSub>
                <m:e>
                  <m:r>
                    <m:rPr>
                      <m:sty m:val="p"/>
                    </m:rPr>
                    <w:rPr>
                      <w:rFonts w:ascii="Times" w:hAnsi="Times"/>
                      <w:sz w:val="20"/>
                    </w:rPr>
                    <m:t>Σ</m:t>
                  </m:r>
                </m:e>
                <m:sub>
                  <m:r>
                    <m:rPr>
                      <m:sty m:val="p"/>
                    </m:rPr>
                    <w:rPr>
                      <w:rFonts w:ascii="Times" w:hAnsi="Times"/>
                      <w:sz w:val="20"/>
                    </w:rPr>
                    <m:t>i∈U</m:t>
                  </m:r>
                </m:sub>
              </m:sSub>
              <m:sSub>
                <m:e>
                  <m:r>
                    <m:rPr>
                      <m:sty m:val="p"/>
                    </m:rPr>
                    <w:rPr>
                      <w:rFonts w:ascii="Times" w:hAnsi="Times"/>
                      <w:sz w:val="20"/>
                    </w:rPr>
                    <m:t>L</m:t>
                  </m:r>
                </m:e>
                <m:sub>
                  <m:r>
                    <m:rPr>
                      <m:sty m:val="p"/>
                    </m:rPr>
                    <w:rPr>
                      <w:rFonts w:ascii="Times" w:hAnsi="Times"/>
                      <w:sz w:val="20"/>
                    </w:rPr>
                    <m:t>i</m:t>
                  </m:r>
                </m:sub>
              </m:sSub>
            </m:num>
            <m:den>
              <m:r>
                <m:rPr>
                  <m:sty m:val="p"/>
                </m:rPr>
                <w:rPr>
                  <w:rFonts w:ascii="Times" w:hAnsi="Times"/>
                  <w:sz w:val="20"/>
                </w:rPr>
                <m:t>N</m:t>
              </m:r>
            </m:den>
          </m:f>
          <m:r>
            <m:rPr>
              <m:sty m:val="p"/>
            </m:rPr>
            <w:rPr>
              <w:rFonts w:ascii="Times" w:hAnsi="Times"/>
              <w:sz w:val="20"/>
            </w:rPr>
            <m:t> ≤ </m:t>
          </m:r>
          <m:sSub>
            <m:e>
              <m:r>
                <m:rPr>
                  <m:sty m:val="p"/>
                </m:rPr>
                <w:rPr>
                  <w:rFonts w:ascii="Times" w:hAnsi="Times"/>
                  <w:sz w:val="20"/>
                </w:rPr>
                <m:t>mean</m:t>
              </m:r>
            </m:e>
            <m:sub>
              <m:r>
                <m:rPr>
                  <m:sty m:val="p"/>
                </m:rPr>
                <w:rPr>
                  <w:rFonts w:ascii="Times" w:hAnsi="Times"/>
                  <w:sz w:val="20"/>
                </w:rPr>
                <m:t>C</m:t>
              </m:r>
            </m:sub>
          </m:sSub>
          <m:r>
            <m:rPr>
              <m:sty m:val="p"/>
            </m:rPr>
            <w:rPr>
              <w:rFonts w:ascii="Times" w:hAnsi="Times"/>
              <w:sz w:val="20"/>
            </w:rPr>
            <m:t>(B).</m:t>
          </m:r>
        </m:oMath>
      </m:oMathPara>
      <w:r>
        <w:t xml:space="preserve">  (1)</w:t>
      </w:r>
    </w:p>
    <w:p>
      <w:pPr>
        <w:pStyle w:val="IMSBodyText"/>
      </w:pPr>
      <w:r>
        <w:rPr>
          <w:i/>
        </w:rPr>
        <w:t xml:space="preserve">MAE</w:t>
      </w:r>
      <w:r>
        <w:rPr>
          <w:i/>
          <w:vertAlign w:val="subscript"/>
        </w:rPr>
        <w:t xml:space="preserve">C</w:t>
      </w:r>
      <w:r>
        <w:t xml:space="preserve"> = Σ(i∈C) </w:t>
      </w:r>
      <w:r>
        <w:rPr>
          <w:i/>
        </w:rPr>
        <w:t xml:space="preserve">e</w:t>
      </w:r>
      <w:r>
        <w:rPr>
          <w:i/>
          <w:vertAlign w:val="subscript"/>
        </w:rPr>
        <w:t xml:space="preserve">i</w:t>
      </w:r>
      <w:r>
        <w:t xml:space="preserve"> / N &lt; </w:t>
      </w:r>
      <w:r>
        <w:rPr>
          <w:i/>
        </w:rPr>
        <w:t xml:space="preserve">M</w:t>
      </w:r>
      <w:r>
        <w:rPr>
          <w:i/>
          <w:vertAlign w:val="subscript"/>
        </w:rPr>
        <w:t xml:space="preserve">L</w:t>
      </w:r>
      <w:r>
        <w:t xml:space="preserve"> therefore establishes </w:t>
      </w:r>
      <w:r>
        <w:rPr>
          <w:i/>
        </w:rPr>
        <w:t xml:space="preserve">MAE</w:t>
      </w:r>
      <w:r>
        <w:rPr>
          <w:i/>
          <w:vertAlign w:val="subscript"/>
        </w:rPr>
        <w:t xml:space="preserve">C</w:t>
      </w:r>
      <w:r>
        <w:t xml:space="preserve"> &lt; </w:t>
      </w:r>
      <w:r>
        <w:rPr>
          <w:i/>
        </w:rPr>
        <w:t xml:space="preserve">mean</w:t>
      </w:r>
      <w:r>
        <w:rPr>
          <w:i/>
          <w:vertAlign w:val="subscript"/>
        </w:rPr>
        <w:t xml:space="preserve">C</w:t>
      </w:r>
      <w:r>
        <w:t xml:space="preserve">(B). If </w:t>
      </w:r>
      <w:r>
        <w:rPr>
          <w:i/>
        </w:rPr>
        <w:t xml:space="preserve">MAE</w:t>
      </w:r>
      <w:r>
        <w:rPr>
          <w:i/>
          <w:vertAlign w:val="subscript"/>
        </w:rPr>
        <w:t xml:space="preserve">C</w:t>
      </w:r>
      <w:r>
        <w:t xml:space="preserve"> is not below </w:t>
      </w:r>
      <w:r>
        <w:rPr>
          <w:i/>
        </w:rPr>
        <w:t xml:space="preserve">M</w:t>
      </w:r>
      <w:r>
        <w:rPr>
          <w:i/>
          <w:vertAlign w:val="subscript"/>
        </w:rPr>
        <w:t xml:space="preserve">L</w:t>
      </w:r>
      <w:r>
        <w:t xml:space="preserve">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w:t>
      </w:r>
      <w:r>
        <w:rPr>
          <w:i/>
        </w:rPr>
        <w:t xml:space="preserve">e</w:t>
      </w:r>
      <w:r>
        <w:rPr>
          <w:i/>
          <w:vertAlign w:val="subscript"/>
        </w:rPr>
        <w:t xml:space="preserve">i</w:t>
      </w:r>
      <w:r>
        <w:t xml:space="preserve"> &lt; </w:t>
      </w:r>
      <w:r>
        <w:rPr>
          <w:i/>
        </w:rPr>
        <w:t xml:space="preserve">B</w:t>
      </w:r>
      <w:r>
        <w:rPr>
          <w:i/>
          <w:vertAlign w:val="subscript"/>
        </w:rPr>
        <w:t xml:space="preserve">i</w:t>
      </w:r>
      <w:r>
        <w:t xml:space="preserve">. Known-delay records are decided directly, with equality a failure. An unknown-delay record with </w:t>
      </w:r>
      <w:r>
        <w:rPr>
          <w:i/>
        </w:rPr>
        <w:t xml:space="preserve">e</w:t>
      </w:r>
      <w:r>
        <w:rPr>
          <w:i/>
          <w:vertAlign w:val="subscript"/>
        </w:rPr>
        <w:t xml:space="preserve">i</w:t>
      </w:r>
      <w:r>
        <w:t xml:space="preserve"> &lt; </w:t>
      </w:r>
      <w:r>
        <w:rPr>
          <w:i/>
        </w:rPr>
        <w:t xml:space="preserve">L</w:t>
      </w:r>
      <w:r>
        <w:rPr>
          <w:i/>
          <w:vertAlign w:val="subscript"/>
        </w:rPr>
        <w:t xml:space="preserve">i</w:t>
      </w:r>
      <w:r>
        <w:t xml:space="preserve"> is a confirmed pass. Records with </w:t>
      </w:r>
      <w:r>
        <w:rPr>
          <w:i/>
        </w:rPr>
        <w:t xml:space="preserve">e</w:t>
      </w:r>
      <w:r>
        <w:rPr>
          <w:i/>
          <w:vertAlign w:val="subscript"/>
        </w:rPr>
        <w:t xml:space="preserve">i</w:t>
      </w:r>
      <w:r>
        <w:t xml:space="preserve"> &gt; </w:t>
      </w:r>
      <w:r>
        <w:rPr>
          <w:i/>
        </w:rPr>
        <w:t xml:space="preserve">L</w:t>
      </w:r>
      <w:r>
        <w:rPr>
          <w:i/>
          <w:vertAlign w:val="subscript"/>
        </w:rPr>
        <w:t xml:space="preserve">i</w:t>
      </w:r>
      <w:r>
        <w:t xml:space="preserve"> can remain unresolved; equality </w:t>
      </w:r>
      <w:r>
        <w:rPr>
          <w:i/>
        </w:rPr>
        <w:t xml:space="preserve">e</w:t>
      </w:r>
      <w:r>
        <w:rPr>
          <w:i/>
          <w:vertAlign w:val="subscript"/>
        </w:rPr>
        <w:t xml:space="preserve">i</w:t>
      </w:r>
      <w:r>
        <w:t xml:space="preserve"> = </w:t>
      </w:r>
      <w:r>
        <w:rPr>
          <w:i/>
        </w:rPr>
        <w:t xml:space="preserve">L</w:t>
      </w:r>
      <w:r>
        <w:rPr>
          <w:i/>
          <w:vertAlign w:val="subscript"/>
        </w:rPr>
        <w:t xml:space="preserve">i</w:t>
      </w:r>
      <w:r>
        <w:t xml:space="preserve"> is conservatively unresolved unless strict boundary semantics establish </w:t>
      </w:r>
      <w:r>
        <w:rPr>
          <w:i/>
        </w:rPr>
        <w:t xml:space="preserve">B</w:t>
      </w:r>
      <w:r>
        <w:rPr>
          <w:i/>
          <w:vertAlign w:val="subscript"/>
        </w:rPr>
        <w:t xml:space="preserve">i</w:t>
      </w:r>
      <w:r>
        <w:t xml:space="preserve"> &gt; </w:t>
      </w:r>
      <w:r>
        <w:rPr>
          <w:i/>
        </w:rPr>
        <w:t xml:space="preserve">L</w:t>
      </w:r>
      <w:r>
        <w:rPr>
          <w:i/>
          <w:vertAlign w:val="subscript"/>
        </w:rPr>
        <w:t xml:space="preserve">i</w:t>
      </w:r>
      <w:r>
        <w:t xml:space="preserve">.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includes predict.py, models.json, two median tables and four LightGBM files, with recorded sizes, hashes and parent paths. results.ipynb, overwrite-results.json and linked mean-overwrite, long-history and mixture artifacts document outputs/protocols; pyproject.toml and uv.lock provide dependency pointers. Review did not independently rehash full data, audit all parent arrays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Read-observed N</w:t>
            </w:r>
          </w:p>
        </w:tc>
        <w:tc>
          <w:tcPr>
            <w:tcW w:w="1510" w:type="dxa"/>
            <w:vAlign w:val="center"/>
            <w:shd w:fill="EEEEEE" w:val="clear"/>
          </w:tcPr>
          <w:p>
            <w:pPr>
              <w:pStyle w:val="TableContents"/>
              <w:keepNext/>
            </w:pPr>
            <w:r>
              <w:rPr>
                <w:b/>
              </w:rPr>
              <w:t xml:space="preserve">All Write N</w:t>
            </w:r>
          </w:p>
        </w:tc>
        <w:tc>
          <w:tcPr>
            <w:tcW w:w="1560" w:type="dxa"/>
            <w:vAlign w:val="center"/>
            <w:shd w:fill="EEEEEE" w:val="clear"/>
          </w:tcPr>
          <w:p>
            <w:pPr>
              <w:pStyle w:val="TableContents"/>
              <w:keepNext/>
            </w:pPr>
            <w:r>
              <w:rPr>
                <w:b/>
              </w:rPr>
              <w:t xml:space="preserve">Coverage</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211,844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20.71%</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236,034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23.08%</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633,316</w:t>
            </w:r>
          </w:p>
        </w:tc>
        <w:tc>
          <w:tcPr>
            <w:tcW w:w="1510" w:type="dxa"/>
            <w:vAlign w:val="center"/>
          </w:tcPr>
          <w:p>
            <w:pPr>
              <w:pStyle w:val="TableContents"/>
              <w:keepNext/>
            </w:pPr>
            <w:r>
              <w:t xml:space="preserve">1,299,820</w:t>
            </w:r>
          </w:p>
        </w:tc>
        <w:tc>
          <w:tcPr>
            <w:tcW w:w="1560" w:type="dxa"/>
            <w:vAlign w:val="center"/>
          </w:tcPr>
          <w:p>
            <w:pPr>
              <w:pStyle w:val="TableContents"/>
              <w:keepNext/>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MAE and lower bound on mean overwrite delay (seconds).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900"/>
        <w:gridCol w:w="1020"/>
        <w:gridCol w:w="1020"/>
        <w:gridCol w:w="1650"/>
      </w:tblGrid>
      <w:tr>
        <w:trPr>
          <w:cantSplit/>
          <w:tblHeader/>
        </w:trPr>
        <w:tc>
          <w:tcPr>
            <w:tcW w:w="450" w:type="dxa"/>
            <w:vAlign w:val="center"/>
            <w:shd w:fill="EEEEEE" w:val="clear"/>
          </w:tcPr>
          <w:p>
            <w:pPr>
              <w:pStyle w:val="TableContents"/>
              <w:keepNext/>
            </w:pPr>
            <w:r>
              <w:rPr>
                <w:b/>
              </w:rPr>
              <w:t xml:space="preserve">Key</w:t>
            </w:r>
          </w:p>
        </w:tc>
        <w:tc>
          <w:tcPr>
            <w:tcW w:w="900" w:type="dxa"/>
            <w:vAlign w:val="center"/>
            <w:shd w:fill="EEEEEE" w:val="clear"/>
          </w:tcPr>
          <w:p>
            <w:pPr>
              <w:pStyle w:val="TableContents"/>
              <w:keepNext/>
            </w:pPr>
            <w:r>
              <w:rPr>
                <w:b/>
              </w:rPr>
              <w:t xml:space="preserve">Predictor</w:t>
            </w:r>
          </w:p>
        </w:tc>
        <w:tc>
          <w:tcPr>
            <w:tcW w:w="1020" w:type="dxa"/>
            <w:vAlign w:val="center"/>
            <w:shd w:fill="EEEEEE" w:val="clear"/>
          </w:tcPr>
          <w:p>
            <w:pPr>
              <w:pStyle w:val="TableContents"/>
              <w:keepNext/>
            </w:pPr>
            <w:r>
              <w:rPr>
                <w:b/>
              </w:rPr>
              <w:t xml:space="preserve">MAE, s</w:t>
            </w:r>
          </w:p>
        </w:tc>
        <w:tc>
          <w:tcPr>
            <w:tcW w:w="1020" w:type="dxa"/>
            <w:vAlign w:val="center"/>
            <w:shd w:fill="EEEEEE" w:val="clear"/>
          </w:tcPr>
          <w:p>
            <w:pPr>
              <w:pStyle w:val="TableContents"/>
              <w:keepNext/>
            </w:pPr>
            <w:r>
              <w:rPr>
                <w:i/>
                <w:b/>
              </w:rPr>
              <w:t xml:space="preserve">M</w:t>
            </w:r>
            <w:r>
              <w:rPr>
                <w:i/>
                <w:vertAlign w:val="subscript"/>
                <w:b/>
              </w:rPr>
              <w:t xml:space="preserve">L</w:t>
            </w:r>
            <w:r>
              <w:rPr>
                <w:b/>
              </w:rPr>
              <w:t xml:space="preserve">, s</w:t>
            </w:r>
          </w:p>
        </w:tc>
        <w:tc>
          <w:tcPr>
            <w:tcW w:w="1650" w:type="dxa"/>
            <w:vAlign w:val="center"/>
            <w:shd w:fill="EEEEEE" w:val="clear"/>
          </w:tcPr>
          <w:p>
            <w:pPr>
              <w:pStyle w:val="TableContents"/>
              <w:keepNext/>
            </w:pPr>
            <w:r>
              <w:rPr>
                <w:b/>
              </w:rPr>
              <w:t xml:space="preserve">Mean criterion</w:t>
            </w:r>
          </w:p>
        </w:tc>
      </w:tr>
      <w:tr>
        <w:trPr>
          <w:cantSplit/>
        </w:trPr>
        <w:tc>
          <w:tcPr>
            <w:tcW w:w="450" w:type="dxa"/>
            <w:vAlign w:val="center"/>
          </w:tcPr>
          <w:p>
            <w:pPr>
              <w:pStyle w:val="TableContents"/>
              <w:keepNext/>
            </w:pPr>
            <w:r>
              <w:t xml:space="preserve">P-S</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18,162.30</w:t>
            </w:r>
          </w:p>
        </w:tc>
        <w:tc>
          <w:tcPr>
            <w:tcW w:w="1020" w:type="dxa"/>
            <w:vAlign w:val="center"/>
          </w:tcPr>
          <w:p>
            <w:pPr>
              <w:pStyle w:val="TableContents"/>
              <w:keepNext/>
            </w:pPr>
            <w:r>
              <w:t xml:space="preserve">18,974.56</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keepNext/>
            </w:pPr>
            <w:r>
              <w:t xml:space="preserve">P-R</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17,146.95</w:t>
            </w:r>
          </w:p>
        </w:tc>
        <w:tc>
          <w:tcPr>
            <w:tcW w:w="1020" w:type="dxa"/>
            <w:vAlign w:val="center"/>
          </w:tcPr>
          <w:p>
            <w:pPr>
              <w:pStyle w:val="TableContents"/>
              <w:keepNext/>
            </w:pPr>
            <w:r>
              <w:t xml:space="preserve">16,275.23</w:t>
            </w:r>
          </w:p>
        </w:tc>
        <w:tc>
          <w:tcPr>
            <w:tcW w:w="1650" w:type="dxa"/>
            <w:vAlign w:val="center"/>
          </w:tcPr>
          <w:p>
            <w:pPr>
              <w:pStyle w:val="TableContents"/>
              <w:keepNext/>
            </w:pPr>
            <w:r>
              <w:t xml:space="preserve">Undetermined</w:t>
            </w:r>
          </w:p>
        </w:tc>
      </w:tr>
      <w:tr>
        <w:trPr>
          <w:cantSplit/>
        </w:trPr>
        <w:tc>
          <w:tcPr>
            <w:tcW w:w="450" w:type="dxa"/>
            <w:vAlign w:val="center"/>
          </w:tcPr>
          <w:p>
            <w:pPr>
              <w:pStyle w:val="TableContents"/>
              <w:keepNext/>
            </w:pPr>
            <w:r>
              <w:t xml:space="preserve">N-S</w:t>
            </w:r>
          </w:p>
        </w:tc>
        <w:tc>
          <w:tcPr>
            <w:tcW w:w="900" w:type="dxa"/>
            <w:vAlign w:val="center"/>
          </w:tcPr>
          <w:p>
            <w:pPr>
              <w:pStyle w:val="TableContents"/>
              <w:keepNext/>
            </w:pPr>
            <w:r>
              <w:t xml:space="preserve">Mixture</w:t>
            </w:r>
          </w:p>
        </w:tc>
        <w:tc>
          <w:tcPr>
            <w:tcW w:w="1020" w:type="dxa"/>
            <w:vAlign w:val="center"/>
          </w:tcPr>
          <w:p>
            <w:pPr>
              <w:pStyle w:val="TableContents"/>
              <w:keepNext/>
            </w:pPr>
            <w:r>
              <w:t xml:space="preserve">13,715.20</w:t>
            </w:r>
          </w:p>
        </w:tc>
        <w:tc>
          <w:tcPr>
            <w:tcW w:w="1020" w:type="dxa"/>
            <w:vAlign w:val="center"/>
          </w:tcPr>
          <w:p>
            <w:pPr>
              <w:pStyle w:val="TableContents"/>
              <w:keepNext/>
            </w:pPr>
            <w:r>
              <w:t xml:space="preserve">19,184.55</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pPr>
            <w:r>
              <w:t xml:space="preserve">N-R</w:t>
            </w:r>
          </w:p>
        </w:tc>
        <w:tc>
          <w:tcPr>
            <w:tcW w:w="900" w:type="dxa"/>
            <w:vAlign w:val="center"/>
          </w:tcPr>
          <w:p>
            <w:pPr>
              <w:pStyle w:val="TableContents"/>
            </w:pPr>
            <w:r>
              <w:t xml:space="preserve">Mixture</w:t>
            </w:r>
          </w:p>
        </w:tc>
        <w:tc>
          <w:tcPr>
            <w:tcW w:w="1020" w:type="dxa"/>
            <w:vAlign w:val="center"/>
          </w:tcPr>
          <w:p>
            <w:pPr>
              <w:pStyle w:val="TableContents"/>
            </w:pPr>
            <w:r>
              <w:t xml:space="preserve">13,741.74</w:t>
            </w:r>
          </w:p>
        </w:tc>
        <w:tc>
          <w:tcPr>
            <w:tcW w:w="1020" w:type="dxa"/>
            <w:vAlign w:val="center"/>
          </w:tcPr>
          <w:p>
            <w:pPr>
              <w:pStyle w:val="TableContents"/>
            </w:pPr>
            <w:r>
              <w:t xml:space="preserve">16,475.83</w:t>
            </w:r>
          </w:p>
        </w:tc>
        <w:tc>
          <w:tcPr>
            <w:tcW w:w="1650" w:type="dxa"/>
            <w:vAlign w:val="center"/>
          </w:tcPr>
          <w:p>
            <w:pPr>
              <w:pStyle w:val="TableContents"/>
            </w:pPr>
            <w:r>
              <w:t xml:space="preserve">Satisfied</w:t>
            </w:r>
          </w:p>
        </w:tc>
      </w:tr>
    </w:tbl>
    <w:p>
      <w:pPr>
        <w:pStyle w:val="IMSBodyText"/>
      </w:pPr>
      <w:r>
        <w:t xml:space="preserve">Table II reports </w:t>
      </w:r>
      <w:r>
        <w:rPr>
          <w:i/>
        </w:rPr>
        <w:t xml:space="preserve">M</w:t>
      </w:r>
      <w:r>
        <w:rPr>
          <w:i/>
          <w:vertAlign w:val="subscript"/>
        </w:rPr>
        <w:t xml:space="preserve">L</w:t>
      </w:r>
      <w:r>
        <w:t xml:space="preserve">, the overwrite-mean lower bound; “Satisfied” means MAE &lt; </w:t>
      </w:r>
      <w:r>
        <w:rPr>
          <w:i/>
        </w:rPr>
        <w:t xml:space="preserve">M</w:t>
      </w:r>
      <w:r>
        <w:rPr>
          <w:i/>
          <w:vertAlign w:val="subscript"/>
        </w:rPr>
        <w:t xml:space="preserve">L</w:t>
      </w:r>
      <w:r>
        <w:t xml:space="preserve">. 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Pass bounds and paired-cohort control.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Pass bounds</w:t>
            </w:r>
          </w:p>
        </w:tc>
        <w:tc>
          <w:tcPr>
            <w:tcW w:w="1510" w:type="dxa"/>
            <w:vAlign w:val="center"/>
            <w:shd w:fill="EEEEEE" w:val="clear"/>
          </w:tcPr>
          <w:p>
            <w:pPr>
              <w:pStyle w:val="TableContents"/>
              <w:keepNext/>
            </w:pPr>
            <w:r>
              <w:rPr>
                <w:b/>
              </w:rPr>
              <w:t xml:space="preserve">Paired N</w:t>
            </w:r>
          </w:p>
        </w:tc>
        <w:tc>
          <w:tcPr>
            <w:tcW w:w="1560" w:type="dxa"/>
            <w:vAlign w:val="center"/>
            <w:shd w:fill="EEEEEE" w:val="clear"/>
          </w:tcPr>
          <w:p>
            <w:pPr>
              <w:pStyle w:val="TableContents"/>
              <w:keepNext/>
            </w:pPr>
            <w:r>
              <w:rPr>
                <w:b/>
              </w:rPr>
              <w:t xml:space="preserve">Paired ratio</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51.35–52.72%</w:t>
            </w:r>
          </w:p>
        </w:tc>
        <w:tc>
          <w:tcPr>
            <w:tcW w:w="1510" w:type="dxa"/>
            <w:vAlign w:val="center"/>
          </w:tcPr>
          <w:p>
            <w:pPr>
              <w:pStyle w:val="TableContents"/>
              <w:keepNext/>
            </w:pPr>
            <w:r>
              <w:t xml:space="preserve">188,375</w:t>
            </w:r>
          </w:p>
        </w:tc>
        <w:tc>
          <w:tcPr>
            <w:tcW w:w="1560" w:type="dxa"/>
            <w:vAlign w:val="center"/>
          </w:tcPr>
          <w:p>
            <w:pPr>
              <w:pStyle w:val="TableContents"/>
              <w:keepNext/>
            </w:pPr>
            <w:r>
              <w:t xml:space="preserve">1.3939</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45.79–47.17%</w:t>
            </w:r>
          </w:p>
        </w:tc>
        <w:tc>
          <w:tcPr>
            <w:tcW w:w="1510" w:type="dxa"/>
            <w:vAlign w:val="center"/>
          </w:tcPr>
          <w:p>
            <w:pPr>
              <w:pStyle w:val="TableContents"/>
              <w:keepNext/>
            </w:pPr>
            <w:r>
              <w:t xml:space="preserve">212,376</w:t>
            </w:r>
          </w:p>
        </w:tc>
        <w:tc>
          <w:tcPr>
            <w:tcW w:w="1560" w:type="dxa"/>
            <w:vAlign w:val="center"/>
          </w:tcPr>
          <w:p>
            <w:pPr>
              <w:pStyle w:val="TableContents"/>
              <w:keepNext/>
            </w:pPr>
            <w:r>
              <w:t xml:space="preserve">1.6227</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50.03–50.36%</w:t>
            </w:r>
          </w:p>
        </w:tc>
        <w:tc>
          <w:tcPr>
            <w:tcW w:w="1510" w:type="dxa"/>
            <w:vAlign w:val="center"/>
          </w:tcPr>
          <w:p>
            <w:pPr>
              <w:pStyle w:val="TableContents"/>
              <w:keepNext/>
            </w:pPr>
            <w:r>
              <w:t xml:space="preserve">522,581</w:t>
            </w:r>
          </w:p>
        </w:tc>
        <w:tc>
          <w:tcPr>
            <w:tcW w:w="1560" w:type="dxa"/>
            <w:vAlign w:val="center"/>
          </w:tcPr>
          <w:p>
            <w:pPr>
              <w:pStyle w:val="TableContents"/>
              <w:keepNext/>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its ratio is paired MAE divided by exact paired mean overwrite delay. All four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Removing unknown overwrite delays changes the cohort and both means, without invalidating either analysis. Longer tails or observed/censored-cohort differences could explain the contrast; these summaries establish neither mechanism.</w:t>
      </w:r>
    </w:p>
    <w:p>
      <w:pPr>
        <w:pStyle w:val="IMSBodyText"/>
      </w:pPr>
      <w:r>
        <w:t xml:space="preserve">Range matching changes endpoint meaning: partial intersection can shorten a budget without replacing all bytes; same-start history omits intersecting accesses starting elsewhere. These are not complete-invalidation results.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and unequal horizons restrict the evaluated cohorts. These MAEs do not identify performance on all Writes, including later or never-read Writes; approximate trace duration does not resolve this.</w:t>
      </w:r>
    </w:p>
    <w:p>
      <w:pPr>
        <w:pStyle w:val="IMSBodyText"/>
      </w:pPr>
      <w:r>
        <w:t xml:space="preserve">Development and changed selection preclude prospective confirmation. Prefix screening and earlier-row features certify neither historical non-access nor universal leakage freedom. Checker/export consistency is not replication; code-to-artifact integrity, parent pass arrays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Before accessing untouched workloads, fix matching rules, horizons, selection and both criteria. Retain Read-censored Writes and boundary semantics; address dependence through justified workload or temporal replication units, not individual Writes.</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Three of four development comparisons establish MAE below mean overwrite delay on observed-Read records; proj_1/range remains undetermined. Every selected predictor fails the 90% requirement, and every selected paired-cohort mean comparison fails. Aggregate mean success therefore does not establish overwrite-based reliability, general learned-prediction advantage or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6th USENIX Conference on File and Storage Technologies (FAST 08), 2008.</w:t>
      </w:r>
    </w:p>
    <w:p>
      <w:pPr>
        <w:pStyle w:val="IMSReferences"/>
      </w:pPr>
      <w:r>
        <w:t xml:space="preserve">[2] Q. Wang, J. Li, P. P. C. Lee, T. Ouyang, C. Shi, and L. Huang, “Separating Data via Block Invalidation Time Inference for Write Amplification Reduction in Log-Structured Storage,” in 20th USENIX Conference on File and Storage Technologies (FAST 22), 2022, pp. 429–444.</w:t>
      </w:r>
    </w:p>
    <w:p>
      <w:pPr>
        <w:pStyle w:val="IMSReferences"/>
      </w:pPr>
      <w:r>
        <w:t xml:space="preserve">[3]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