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Don State Technical University,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MSR Cambridge documentation attributes the traces to Narayanan et al. [1], whose abstract describes one-week block-level traces from 36 enterprise volumes in a spinning-disk power-management setting, not modern SSDs.</w:t>
      </w:r>
    </w:p>
    <w:p>
      <w:pPr>
        <w:pStyle w:val="IMSBodyText"/>
      </w:pPr>
      <w:r>
        <w:t xml:space="preserve">Chakraborttii and Litz propose neural-network future-block prediction for timely SSD prefetching in sparse address spaces [2]. SGDP models logical-block-address deltas with weighted directed graphs and graph neural networks for prefetching [3]. Block prediction and prefetch lead time differ from our Write-conditioned regression of seconds until the next matching Read and overwrite-based error tolerance.</w:t>
      </w:r>
    </w:p>
    <w:p>
      <w:pPr>
        <w:pStyle w:val="IMSBodyText"/>
      </w:pPr>
      <w:r>
        <w:t xml:space="preserve">Li and Gu's preprint predicts forward reuse distance using LSTM-based networks for cache replacement [4]. It counts accesses between consecutive accesses to the same datum, not seconds. Target distinctions do not establish comparative performance; our censoring-aware overwrite evaluation is distinct.</w:t>
      </w:r>
    </w:p>
    <w:p>
      <w:pPr>
        <w:pStyle w:val="IMSBodyText"/>
      </w:pPr>
      <w:r>
        <w:t xml:space="preserve">SepBIT groups data by inferred block-invalidation times to reduce log-structured-storage write amplification [5]. This objective differs from our next-Read-time target; address-level overwrite intervals are not necessarily data-version lifetimes.</w:t>
      </w:r>
    </w:p>
    <w:p>
      <w:pPr>
        <w:pStyle w:val="IMSBodyText"/>
      </w:pPr>
      <w:r>
        <w:t xml:space="preserve">LightGBM is our gradient-boosted-tree implementation [6], alongside an address-median baseline. Saved configurations specify features, losses and parameters; no novelty is claimed.</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Proc. FAST ’08, 2008.</w:t>
      </w:r>
    </w:p>
    <w:p>
      <w:pPr>
        <w:pStyle w:val="IMSReferences"/>
      </w:pPr>
      <w:r>
        <w:t xml:space="preserve">[2] C. Chakraborttii and H. Litz, “Learning I/O Access Patterns to Improve Prefetching in SSDs,” in Proc. ECML PKDD 2020, 2021, pp. 427–443.</w:t>
      </w:r>
    </w:p>
    <w:p>
      <w:pPr>
        <w:pStyle w:val="IMSReferences"/>
      </w:pPr>
      <w:r>
        <w:t xml:space="preserve">[3] Y. Yang, R. Li, Q. Shi, X. Li, G. Hu, X. Li, and M. Yuan, “SGDP: A Stream-Graph Neural Network Based Data Prefetcher,” arXiv preprint arXiv:2304.03864v2, 2023.</w:t>
      </w:r>
    </w:p>
    <w:p>
      <w:pPr>
        <w:pStyle w:val="IMSReferences"/>
      </w:pPr>
      <w:r>
        <w:t xml:space="preserve">[4] P. Li and Y. Gu, “Learning Forward Reuse Distance,” arXiv preprint arXiv:2007.15859v1, 2020.</w:t>
      </w:r>
    </w:p>
    <w:p>
      <w:pPr>
        <w:pStyle w:val="IMSReferences"/>
      </w:pPr>
      <w:r>
        <w:t xml:space="preserve">[5] Q. Wang, J. Li, P. P. C. Lee, T. Ouyang, C. Shi, and L. Huang, “Separating Data via Block Invalidation Time Inference for Write Amplification Reduction in Log-Structured Storage,” in Proc. FAST ’22, 2022, pp. 429–444.</w:t>
      </w:r>
    </w:p>
    <w:p>
      <w:pPr>
        <w:pStyle w:val="IMSReferences"/>
      </w:pPr>
      <w:r>
        <w:t xml:space="preserve">[6]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