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rFonts w:eastAsia="Calibri" w:cs="Calibri"/>
          <w:b/>
          <w:bCs/>
          <w:color w:val="1F3864"/>
          <w:sz w:val="36"/>
          <w:szCs w:val="36"/>
        </w:rPr>
        <w:t>MENG 4010 – INDUSTRIAL NETWORKING</w:t>
      </w:r>
    </w:p>
    <w:p>
      <w:pPr>
        <w:pStyle w:val="Normal"/>
        <w:spacing w:before="0" w:after="60"/>
        <w:jc w:val="center"/>
        <w:rPr/>
      </w:pPr>
      <w:r>
        <w:rPr>
          <w:rFonts w:eastAsia="Calibri" w:cs="Calibri"/>
          <w:b/>
          <w:bCs/>
          <w:sz w:val="26"/>
          <w:szCs w:val="26"/>
        </w:rPr>
        <w:t>Lab 01 Report – Configuring the IP Address of a ControlLogix 1756-L81E PLC and a Siemens S7-1200 G2 PLC</w:t>
      </w:r>
    </w:p>
    <w:p>
      <w:pPr>
        <w:pStyle w:val="Normal"/>
        <w:pBdr>
          <w:bottom w:val="single" w:sz="8" w:space="4" w:color="2F5496"/>
        </w:pBdr>
        <w:spacing w:before="0" w:after="160"/>
        <w:rPr/>
      </w:pPr>
      <w:r>
        <w:rPr/>
      </w:r>
    </w:p>
    <w:tbl>
      <w:tblPr>
        <w:tblW w:w="9360" w:type="dxa"/>
        <w:jc w:val="start"/>
        <w:tblInd w:w="0" w:type="dxa"/>
        <w:tblLayout w:type="fixed"/>
        <w:tblCellMar>
          <w:top w:w="70" w:type="dxa"/>
          <w:start w:w="100" w:type="dxa"/>
          <w:bottom w:w="70" w:type="dxa"/>
          <w:end w:w="100" w:type="dxa"/>
        </w:tblCellMar>
      </w:tblPr>
      <w:tblGrid>
        <w:gridCol w:w="2398"/>
        <w:gridCol w:w="6962"/>
      </w:tblGrid>
      <w:tr>
        <w:trPr>
          <w:tblHeader w:val="true"/>
        </w:trPr>
        <w:tc>
          <w:tcPr>
            <w:tcW w:w="2398" w:type="dxa"/>
            <w:tcBorders>
              <w:top w:val="single" w:sz="4" w:space="0" w:color="8EA9DB"/>
              <w:start w:val="single" w:sz="4" w:space="0" w:color="8EA9DB"/>
              <w:bottom w:val="single" w:sz="4" w:space="0" w:color="8EA9DB"/>
              <w:end w:val="single" w:sz="4" w:space="0" w:color="8EA9DB"/>
            </w:tcBorders>
            <w:shd w:color="auto" w:fill="1F3864" w:val="clear"/>
            <w:vAlign w:val="center"/>
          </w:tcPr>
          <w:p>
            <w:pPr>
              <w:pStyle w:val="Normal"/>
              <w:spacing w:before="0" w:after="0"/>
              <w:rPr/>
            </w:pPr>
            <w:r>
              <w:rPr>
                <w:rFonts w:eastAsia="Calibri" w:cs="Calibri"/>
                <w:b/>
                <w:bCs/>
                <w:color w:val="FFFFFF"/>
                <w:sz w:val="19"/>
                <w:szCs w:val="19"/>
              </w:rPr>
              <w:t>Item</w:t>
            </w:r>
          </w:p>
        </w:tc>
        <w:tc>
          <w:tcPr>
            <w:tcW w:w="6962" w:type="dxa"/>
            <w:tcBorders>
              <w:top w:val="single" w:sz="4" w:space="0" w:color="8EA9DB"/>
              <w:start w:val="single" w:sz="4" w:space="0" w:color="8EA9DB"/>
              <w:bottom w:val="single" w:sz="4" w:space="0" w:color="8EA9DB"/>
              <w:end w:val="single" w:sz="4" w:space="0" w:color="8EA9DB"/>
            </w:tcBorders>
            <w:shd w:color="auto" w:fill="1F3864" w:val="clear"/>
            <w:vAlign w:val="center"/>
          </w:tcPr>
          <w:p>
            <w:pPr>
              <w:pStyle w:val="Normal"/>
              <w:spacing w:before="0" w:after="0"/>
              <w:rPr/>
            </w:pPr>
            <w:r>
              <w:rPr>
                <w:rFonts w:eastAsia="Calibri" w:cs="Calibri"/>
                <w:b/>
                <w:bCs/>
                <w:color w:val="FFFFFF"/>
                <w:sz w:val="19"/>
                <w:szCs w:val="19"/>
              </w:rPr>
              <w:t>Details</w:t>
            </w:r>
          </w:p>
        </w:tc>
      </w:tr>
      <w:tr>
        <w:trPr>
          <w:cantSplit/>
        </w:trPr>
        <w:tc>
          <w:tcPr>
            <w:tcW w:w="2398"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Student</w:t>
            </w:r>
          </w:p>
        </w:tc>
        <w:tc>
          <w:tcPr>
            <w:tcW w:w="6962"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Michael McCorkell (N01500049)</w:t>
            </w:r>
          </w:p>
        </w:tc>
      </w:tr>
      <w:tr>
        <w:trPr>
          <w:cantSplit/>
        </w:trPr>
        <w:tc>
          <w:tcPr>
            <w:tcW w:w="2398"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Course</w:t>
            </w:r>
          </w:p>
        </w:tc>
        <w:tc>
          <w:tcPr>
            <w:tcW w:w="6962"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MENG 4010 – Industrial Networking</w:t>
            </w:r>
          </w:p>
        </w:tc>
      </w:tr>
      <w:tr>
        <w:trPr>
          <w:cantSplit/>
        </w:trPr>
        <w:tc>
          <w:tcPr>
            <w:tcW w:w="2398"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Lab Date</w:t>
            </w:r>
          </w:p>
        </w:tc>
        <w:tc>
          <w:tcPr>
            <w:tcW w:w="6962"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September 10, 2026</w:t>
            </w:r>
          </w:p>
        </w:tc>
      </w:tr>
      <w:tr>
        <w:trPr>
          <w:cantSplit/>
        </w:trPr>
        <w:tc>
          <w:tcPr>
            <w:tcW w:w="2398"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Devices</w:t>
            </w:r>
          </w:p>
        </w:tc>
        <w:tc>
          <w:tcPr>
            <w:tcW w:w="6962"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Allen-Bradley ControlLogix 1756-L81E; Siemens SIMATIC S7-1200 G2</w:t>
            </w:r>
          </w:p>
        </w:tc>
      </w:tr>
      <w:tr>
        <w:trPr>
          <w:cantSplit/>
        </w:trPr>
        <w:tc>
          <w:tcPr>
            <w:tcW w:w="2398"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Software / tools</w:t>
            </w:r>
          </w:p>
        </w:tc>
        <w:tc>
          <w:tcPr>
            <w:tcW w:w="6962"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RSLinx Classic, Studio 5000 Logix Designer, FactoryTalk Linx, Rockwell BOOTP/DHCP EtherNet/IP Commissioning Tool, Siemens TIA Portal, Windows Command Prompt (ping, ipconfig, arp)</w:t>
            </w:r>
          </w:p>
        </w:tc>
      </w:tr>
    </w:tbl>
    <w:p>
      <w:pPr>
        <w:pStyle w:val="Heading1"/>
        <w:spacing w:before="300" w:after="140"/>
        <w:rPr/>
      </w:pPr>
      <w:r>
        <w:rPr>
          <w:rFonts w:eastAsia="Calibri" w:cs="Calibri" w:ascii="Calibri" w:hAnsi="Calibri"/>
          <w:b/>
          <w:bCs/>
          <w:color w:val="1F3864"/>
          <w:sz w:val="30"/>
          <w:szCs w:val="30"/>
        </w:rPr>
        <w:t>Instructor’s Confirmation</w:t>
      </w:r>
    </w:p>
    <w:p>
      <w:pPr>
        <w:pStyle w:val="Normal"/>
        <w:spacing w:lineRule="auto" w:line="276" w:before="0" w:after="120"/>
        <w:rPr>
          <w:rFonts w:ascii="Calibri" w:hAnsi="Calibri" w:eastAsia="Calibri" w:cs="Calibri"/>
          <w:sz w:val="22"/>
          <w:szCs w:val="22"/>
        </w:rPr>
      </w:pPr>
      <w:r>
        <w:rPr>
          <w:rFonts w:eastAsia="Calibri" w:cs="Calibri"/>
          <w:sz w:val="22"/>
          <w:szCs w:val="22"/>
        </w:rPr>
        <w:t>The course instructor’s signature below verifies completion of the lab demonstration.</w:t>
      </w:r>
    </w:p>
    <w:p>
      <w:pPr>
        <w:pStyle w:val="Normal"/>
        <w:spacing w:lineRule="auto" w:line="276" w:before="0" w:after="120"/>
        <w:rPr>
          <w:rFonts w:ascii="Calibri" w:hAnsi="Calibri" w:eastAsia="Calibri" w:cs="Calibri"/>
          <w:sz w:val="22"/>
          <w:szCs w:val="22"/>
        </w:rPr>
      </w:pPr>
      <w:r>
        <w:rPr>
          <w:rFonts w:eastAsia="Calibri" w:cs="Calibri"/>
          <w:sz w:val="22"/>
          <w:szCs w:val="22"/>
        </w:rPr>
        <w:drawing>
          <wp:anchor distT="0" distB="0" distL="0" distR="0" simplePos="0" relativeHeight="34" behindDoc="0" locked="0" layoutInCell="0" allowOverlap="1">
            <wp:simplePos x="0" y="0"/>
            <wp:positionH relativeFrom="column">
              <wp:posOffset>62865</wp:posOffset>
            </wp:positionH>
            <wp:positionV relativeFrom="paragraph">
              <wp:posOffset>44450</wp:posOffset>
            </wp:positionV>
            <wp:extent cx="3744595" cy="97472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14824" t="15066" r="19681" b="72147"/>
                    <a:stretch>
                      <a:fillRect/>
                    </a:stretch>
                  </pic:blipFill>
                  <pic:spPr bwMode="auto">
                    <a:xfrm>
                      <a:off x="0" y="0"/>
                      <a:ext cx="3744595" cy="974725"/>
                    </a:xfrm>
                    <a:prstGeom prst="rect">
                      <a:avLst/>
                    </a:prstGeom>
                    <a:noFill/>
                  </pic:spPr>
                </pic:pic>
              </a:graphicData>
            </a:graphic>
          </wp:anchor>
        </w:drawing>
      </w:r>
    </w:p>
    <w:p>
      <w:pPr>
        <w:pStyle w:val="Normal"/>
        <w:spacing w:lineRule="auto" w:line="276" w:before="0" w:after="120"/>
        <w:rPr>
          <w:rFonts w:ascii="Calibri" w:hAnsi="Calibri" w:eastAsia="Calibri" w:cs="Calibri"/>
          <w:sz w:val="22"/>
          <w:szCs w:val="22"/>
        </w:rPr>
      </w:pPr>
      <w:r>
        <w:rPr>
          <w:rFonts w:eastAsia="Calibri" w:cs="Calibri"/>
          <w:sz w:val="22"/>
          <w:szCs w:val="22"/>
        </w:rPr>
      </w:r>
    </w:p>
    <w:p>
      <w:pPr>
        <w:pStyle w:val="Normal"/>
        <w:spacing w:lineRule="auto" w:line="276" w:before="0" w:after="120"/>
        <w:rPr>
          <w:rFonts w:ascii="Calibri" w:hAnsi="Calibri" w:eastAsia="Calibri" w:cs="Calibri"/>
          <w:sz w:val="22"/>
          <w:szCs w:val="22"/>
        </w:rPr>
      </w:pPr>
      <w:r>
        <w:rPr>
          <w:rFonts w:eastAsia="Calibri" w:cs="Calibri"/>
          <w:sz w:val="22"/>
          <w:szCs w:val="22"/>
        </w:rPr>
      </w:r>
    </w:p>
    <w:p>
      <w:pPr>
        <w:pStyle w:val="Normal"/>
        <w:spacing w:lineRule="auto" w:line="276" w:before="0" w:after="120"/>
        <w:rPr>
          <w:rFonts w:ascii="Calibri" w:hAnsi="Calibri" w:eastAsia="Calibri" w:cs="Calibri"/>
          <w:sz w:val="22"/>
          <w:szCs w:val="22"/>
        </w:rPr>
      </w:pPr>
      <w:r>
        <w:rPr>
          <w:rFonts w:eastAsia="Calibri" w:cs="Calibri"/>
          <w:sz w:val="22"/>
          <w:szCs w:val="22"/>
        </w:rPr>
      </w:r>
    </w:p>
    <w:p>
      <w:pPr>
        <w:pStyle w:val="Heading1"/>
        <w:spacing w:before="300" w:after="140"/>
        <w:rPr/>
      </w:pPr>
      <w:r>
        <w:rPr>
          <w:rFonts w:eastAsia="Calibri" w:cs="Calibri" w:ascii="Calibri" w:hAnsi="Calibri"/>
          <w:b/>
          <w:bCs/>
          <w:color w:val="1F3864"/>
          <w:sz w:val="30"/>
          <w:szCs w:val="30"/>
        </w:rPr>
        <w:t>1. Assignment Summary</w:t>
      </w:r>
    </w:p>
    <w:p>
      <w:pPr>
        <w:pStyle w:val="Heading2"/>
        <w:keepNext w:val="true"/>
        <w:spacing w:before="220" w:after="100"/>
        <w:rPr/>
      </w:pPr>
      <w:r>
        <w:rPr>
          <w:rFonts w:eastAsia="Calibri" w:cs="Calibri" w:ascii="Calibri" w:hAnsi="Calibri"/>
          <w:b/>
          <w:bCs/>
          <w:color w:val="2F5496"/>
          <w:sz w:val="25"/>
          <w:szCs w:val="25"/>
        </w:rPr>
        <w:t>1.1 Objectives</w:t>
      </w:r>
    </w:p>
    <w:p>
      <w:pPr>
        <w:pStyle w:val="Normal"/>
        <w:spacing w:lineRule="auto" w:line="276" w:before="0" w:after="120"/>
        <w:rPr/>
      </w:pPr>
      <w:r>
        <w:rPr>
          <w:rFonts w:eastAsia="Calibri" w:cs="Calibri"/>
          <w:sz w:val="22"/>
          <w:szCs w:val="22"/>
        </w:rPr>
        <w:t>The purpose of this lab was to gain hands-on experience assigning and changing the IP address of industrial controllers using the tools commonly found on an industrial network. The specific objectives were to:</w:t>
      </w:r>
    </w:p>
    <w:p>
      <w:pPr>
        <w:pStyle w:val="ListParagraph"/>
        <w:numPr>
          <w:ilvl w:val="0"/>
          <w:numId w:val="4"/>
        </w:numPr>
        <w:spacing w:lineRule="auto" w:line="276" w:before="0" w:after="60"/>
        <w:rPr/>
      </w:pPr>
      <w:r>
        <w:rPr>
          <w:rFonts w:eastAsia="Calibri" w:cs="Calibri"/>
          <w:sz w:val="22"/>
          <w:szCs w:val="22"/>
        </w:rPr>
        <w:t>Configure PLC network settings using a USB connection, a BOOTP/DHCP server, and Ethernet-based software tools.</w:t>
      </w:r>
    </w:p>
    <w:p>
      <w:pPr>
        <w:pStyle w:val="ListParagraph"/>
        <w:numPr>
          <w:ilvl w:val="0"/>
          <w:numId w:val="2"/>
        </w:numPr>
        <w:spacing w:lineRule="auto" w:line="276" w:before="0" w:after="60"/>
        <w:rPr/>
      </w:pPr>
      <w:r>
        <w:rPr>
          <w:rFonts w:eastAsia="Calibri" w:cs="Calibri"/>
          <w:sz w:val="22"/>
          <w:szCs w:val="22"/>
        </w:rPr>
        <w:t>Validate every IP change with system tools (ping, ipconfig, arp, RSLinx/FactoryTalk Linx browsing) and document the address before and after the change.</w:t>
      </w:r>
    </w:p>
    <w:p>
      <w:pPr>
        <w:pStyle w:val="ListParagraph"/>
        <w:numPr>
          <w:ilvl w:val="0"/>
          <w:numId w:val="2"/>
        </w:numPr>
        <w:spacing w:lineRule="auto" w:line="276" w:before="0" w:after="60"/>
        <w:rPr/>
      </w:pPr>
      <w:r>
        <w:rPr>
          <w:rFonts w:eastAsia="Calibri" w:cs="Calibri"/>
          <w:sz w:val="22"/>
          <w:szCs w:val="22"/>
        </w:rPr>
        <w:t>Identify the advantages and limitations of each configuration method.</w:t>
      </w:r>
    </w:p>
    <w:p>
      <w:pPr>
        <w:pStyle w:val="Heading2"/>
        <w:keepNext w:val="true"/>
        <w:spacing w:before="220" w:after="100"/>
        <w:rPr/>
      </w:pPr>
      <w:r>
        <w:rPr>
          <w:rFonts w:eastAsia="Calibri" w:cs="Calibri" w:ascii="Calibri" w:hAnsi="Calibri"/>
          <w:b/>
          <w:bCs/>
          <w:color w:val="2F5496"/>
          <w:sz w:val="25"/>
          <w:szCs w:val="25"/>
        </w:rPr>
        <w:t>1.2 Work Completed</w:t>
      </w:r>
    </w:p>
    <w:p>
      <w:pPr>
        <w:pStyle w:val="Normal"/>
        <w:spacing w:lineRule="auto" w:line="276" w:before="0" w:after="120"/>
        <w:rPr/>
      </w:pPr>
      <w:r>
        <w:rPr>
          <w:rFonts w:eastAsia="Calibri" w:cs="Calibri"/>
          <w:sz w:val="22"/>
          <w:szCs w:val="22"/>
        </w:rPr>
        <w:t>Five methods were carried out. Four were performed on the ControlLogix 1756-L81E (RSLinx, Studio 5000, BOOTP/DHCP, and USB) and one on the Siemens S7-1200 G2 (TIA Portal). All addresses were on the 10.116.254.0/24 subnet (mask 255.255.255.0, gateway 10.116.254.1). Table 1 summarises the before and after address for each method; the supporting screenshots are in Section 2.</w:t>
      </w:r>
    </w:p>
    <w:p>
      <w:pPr>
        <w:pStyle w:val="Normal"/>
        <w:keepNext w:val="true"/>
        <w:spacing w:before="120" w:after="80"/>
        <w:rPr/>
      </w:pPr>
      <w:r>
        <w:rPr>
          <w:rFonts w:eastAsia="Calibri" w:cs="Calibri"/>
          <w:b/>
          <w:bCs/>
          <w:sz w:val="20"/>
          <w:szCs w:val="20"/>
        </w:rPr>
        <w:t>Table 1 – IP address before and after each method</w:t>
      </w:r>
    </w:p>
    <w:tbl>
      <w:tblPr>
        <w:tblW w:w="9360" w:type="dxa"/>
        <w:jc w:val="start"/>
        <w:tblInd w:w="0" w:type="dxa"/>
        <w:tblLayout w:type="fixed"/>
        <w:tblCellMar>
          <w:top w:w="70" w:type="dxa"/>
          <w:start w:w="100" w:type="dxa"/>
          <w:bottom w:w="70" w:type="dxa"/>
          <w:end w:w="100" w:type="dxa"/>
        </w:tblCellMar>
      </w:tblPr>
      <w:tblGrid>
        <w:gridCol w:w="1447"/>
        <w:gridCol w:w="1449"/>
        <w:gridCol w:w="1901"/>
        <w:gridCol w:w="1901"/>
        <w:gridCol w:w="2662"/>
      </w:tblGrid>
      <w:tr>
        <w:trPr>
          <w:tblHeader w:val="true"/>
        </w:trPr>
        <w:tc>
          <w:tcPr>
            <w:tcW w:w="1447" w:type="dxa"/>
            <w:tcBorders>
              <w:top w:val="single" w:sz="4" w:space="0" w:color="8EA9DB"/>
              <w:start w:val="single" w:sz="4" w:space="0" w:color="8EA9DB"/>
              <w:bottom w:val="single" w:sz="4" w:space="0" w:color="8EA9DB"/>
              <w:end w:val="single" w:sz="4" w:space="0" w:color="8EA9DB"/>
            </w:tcBorders>
            <w:shd w:color="auto" w:fill="1F3864" w:val="clear"/>
            <w:vAlign w:val="center"/>
          </w:tcPr>
          <w:p>
            <w:pPr>
              <w:pStyle w:val="Normal"/>
              <w:spacing w:before="0" w:after="0"/>
              <w:rPr/>
            </w:pPr>
            <w:r>
              <w:rPr>
                <w:rFonts w:eastAsia="Calibri" w:cs="Calibri"/>
                <w:b/>
                <w:bCs/>
                <w:color w:val="FFFFFF"/>
                <w:sz w:val="19"/>
                <w:szCs w:val="19"/>
              </w:rPr>
              <w:t>Method</w:t>
            </w:r>
          </w:p>
        </w:tc>
        <w:tc>
          <w:tcPr>
            <w:tcW w:w="1449" w:type="dxa"/>
            <w:tcBorders>
              <w:top w:val="single" w:sz="4" w:space="0" w:color="8EA9DB"/>
              <w:start w:val="single" w:sz="4" w:space="0" w:color="8EA9DB"/>
              <w:bottom w:val="single" w:sz="4" w:space="0" w:color="8EA9DB"/>
              <w:end w:val="single" w:sz="4" w:space="0" w:color="8EA9DB"/>
            </w:tcBorders>
            <w:shd w:color="auto" w:fill="1F3864" w:val="clear"/>
            <w:vAlign w:val="center"/>
          </w:tcPr>
          <w:p>
            <w:pPr>
              <w:pStyle w:val="Normal"/>
              <w:spacing w:before="0" w:after="0"/>
              <w:rPr/>
            </w:pPr>
            <w:r>
              <w:rPr>
                <w:rFonts w:eastAsia="Calibri" w:cs="Calibri"/>
                <w:b/>
                <w:bCs/>
                <w:color w:val="FFFFFF"/>
                <w:sz w:val="19"/>
                <w:szCs w:val="19"/>
              </w:rPr>
              <w:t>Device</w:t>
            </w:r>
          </w:p>
        </w:tc>
        <w:tc>
          <w:tcPr>
            <w:tcW w:w="1901" w:type="dxa"/>
            <w:tcBorders>
              <w:top w:val="single" w:sz="4" w:space="0" w:color="8EA9DB"/>
              <w:start w:val="single" w:sz="4" w:space="0" w:color="8EA9DB"/>
              <w:bottom w:val="single" w:sz="4" w:space="0" w:color="8EA9DB"/>
              <w:end w:val="single" w:sz="4" w:space="0" w:color="8EA9DB"/>
            </w:tcBorders>
            <w:shd w:color="auto" w:fill="1F3864" w:val="clear"/>
            <w:vAlign w:val="center"/>
          </w:tcPr>
          <w:p>
            <w:pPr>
              <w:pStyle w:val="Normal"/>
              <w:spacing w:before="0" w:after="0"/>
              <w:rPr/>
            </w:pPr>
            <w:r>
              <w:rPr>
                <w:rFonts w:eastAsia="Calibri" w:cs="Calibri"/>
                <w:b/>
                <w:bCs/>
                <w:color w:val="FFFFFF"/>
                <w:sz w:val="19"/>
                <w:szCs w:val="19"/>
              </w:rPr>
              <w:t>IP before</w:t>
            </w:r>
          </w:p>
        </w:tc>
        <w:tc>
          <w:tcPr>
            <w:tcW w:w="1901" w:type="dxa"/>
            <w:tcBorders>
              <w:top w:val="single" w:sz="4" w:space="0" w:color="8EA9DB"/>
              <w:start w:val="single" w:sz="4" w:space="0" w:color="8EA9DB"/>
              <w:bottom w:val="single" w:sz="4" w:space="0" w:color="8EA9DB"/>
              <w:end w:val="single" w:sz="4" w:space="0" w:color="8EA9DB"/>
            </w:tcBorders>
            <w:shd w:color="auto" w:fill="1F3864" w:val="clear"/>
            <w:vAlign w:val="center"/>
          </w:tcPr>
          <w:p>
            <w:pPr>
              <w:pStyle w:val="Normal"/>
              <w:spacing w:before="0" w:after="0"/>
              <w:rPr/>
            </w:pPr>
            <w:r>
              <w:rPr>
                <w:rFonts w:eastAsia="Calibri" w:cs="Calibri"/>
                <w:b/>
                <w:bCs/>
                <w:color w:val="FFFFFF"/>
                <w:sz w:val="19"/>
                <w:szCs w:val="19"/>
              </w:rPr>
              <w:t>IP after</w:t>
            </w:r>
          </w:p>
        </w:tc>
        <w:tc>
          <w:tcPr>
            <w:tcW w:w="2662" w:type="dxa"/>
            <w:tcBorders>
              <w:top w:val="single" w:sz="4" w:space="0" w:color="8EA9DB"/>
              <w:start w:val="single" w:sz="4" w:space="0" w:color="8EA9DB"/>
              <w:bottom w:val="single" w:sz="4" w:space="0" w:color="8EA9DB"/>
              <w:end w:val="single" w:sz="4" w:space="0" w:color="8EA9DB"/>
            </w:tcBorders>
            <w:shd w:color="auto" w:fill="1F3864" w:val="clear"/>
            <w:vAlign w:val="center"/>
          </w:tcPr>
          <w:p>
            <w:pPr>
              <w:pStyle w:val="Normal"/>
              <w:spacing w:before="0" w:after="0"/>
              <w:rPr/>
            </w:pPr>
            <w:r>
              <w:rPr>
                <w:rFonts w:eastAsia="Calibri" w:cs="Calibri"/>
                <w:b/>
                <w:bCs/>
                <w:color w:val="FFFFFF"/>
                <w:sz w:val="19"/>
                <w:szCs w:val="19"/>
              </w:rPr>
              <w:t>Verification</w:t>
            </w:r>
          </w:p>
        </w:tc>
      </w:tr>
      <w:tr>
        <w:trPr>
          <w:cantSplit/>
        </w:trPr>
        <w:tc>
          <w:tcPr>
            <w:tcW w:w="1447"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RSLinx</w:t>
            </w:r>
          </w:p>
        </w:tc>
        <w:tc>
          <w:tcPr>
            <w:tcW w:w="1449"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ControlLogix 1756-L81E</w:t>
            </w:r>
          </w:p>
        </w:tc>
        <w:tc>
          <w:tcPr>
            <w:tcW w:w="1901"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10.116.254.212</w:t>
            </w:r>
          </w:p>
        </w:tc>
        <w:tc>
          <w:tcPr>
            <w:tcW w:w="1901"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10.116.254.250</w:t>
            </w:r>
          </w:p>
        </w:tc>
        <w:tc>
          <w:tcPr>
            <w:tcW w:w="2662"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Ping replies from PLC; visible in RSWho at .250</w:t>
            </w:r>
          </w:p>
        </w:tc>
      </w:tr>
      <w:tr>
        <w:trPr>
          <w:cantSplit/>
        </w:trPr>
        <w:tc>
          <w:tcPr>
            <w:tcW w:w="1447"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Studio 5000</w:t>
            </w:r>
          </w:p>
        </w:tc>
        <w:tc>
          <w:tcPr>
            <w:tcW w:w="1449"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ControlLogix 1756-L81E</w:t>
            </w:r>
          </w:p>
        </w:tc>
        <w:tc>
          <w:tcPr>
            <w:tcW w:w="1901"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10.116.254.250</w:t>
            </w:r>
          </w:p>
        </w:tc>
        <w:tc>
          <w:tcPr>
            <w:tcW w:w="1901"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10.116.254.251</w:t>
            </w:r>
          </w:p>
        </w:tc>
        <w:tc>
          <w:tcPr>
            <w:tcW w:w="2662"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Ping replies from PLC; visible in RSWho / Who Active at .251</w:t>
            </w:r>
          </w:p>
        </w:tc>
      </w:tr>
      <w:tr>
        <w:trPr>
          <w:cantSplit/>
        </w:trPr>
        <w:tc>
          <w:tcPr>
            <w:tcW w:w="1447"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BOOTP/DHCP</w:t>
            </w:r>
          </w:p>
        </w:tc>
        <w:tc>
          <w:tcPr>
            <w:tcW w:w="1449"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ControlLogix 1756-L81E</w:t>
            </w:r>
          </w:p>
        </w:tc>
        <w:tc>
          <w:tcPr>
            <w:tcW w:w="1901"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highlight w:val="none"/>
                <w:shd w:fill="auto" w:val="clear"/>
              </w:rPr>
            </w:pPr>
            <w:r>
              <w:rPr>
                <w:rFonts w:eastAsia="Calibri" w:cs="Calibri"/>
                <w:sz w:val="19"/>
                <w:szCs w:val="19"/>
                <w:shd w:fill="auto" w:val="clear"/>
              </w:rPr>
              <w:t>10.116.254.7</w:t>
            </w:r>
          </w:p>
        </w:tc>
        <w:tc>
          <w:tcPr>
            <w:tcW w:w="1901"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10.116.254.250 (relation created)</w:t>
            </w:r>
          </w:p>
        </w:tc>
        <w:tc>
          <w:tcPr>
            <w:tcW w:w="2662"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ARP entry for .250 and “Enable DHCP successful”; ping to .250</w:t>
            </w:r>
          </w:p>
        </w:tc>
      </w:tr>
      <w:tr>
        <w:trPr>
          <w:cantSplit/>
        </w:trPr>
        <w:tc>
          <w:tcPr>
            <w:tcW w:w="1447"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USB (RSLinx)</w:t>
            </w:r>
          </w:p>
        </w:tc>
        <w:tc>
          <w:tcPr>
            <w:tcW w:w="1449"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ControlLogix 1756-L81E</w:t>
            </w:r>
          </w:p>
        </w:tc>
        <w:tc>
          <w:tcPr>
            <w:tcW w:w="1901"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No valid IP (0.0.0.0 shown over USB)</w:t>
            </w:r>
          </w:p>
        </w:tc>
        <w:tc>
          <w:tcPr>
            <w:tcW w:w="1901"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10.116.254.212</w:t>
            </w:r>
          </w:p>
        </w:tc>
        <w:tc>
          <w:tcPr>
            <w:tcW w:w="2662"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Ping replies from PLC at .212</w:t>
            </w:r>
          </w:p>
        </w:tc>
      </w:tr>
      <w:tr>
        <w:trPr>
          <w:cantSplit/>
        </w:trPr>
        <w:tc>
          <w:tcPr>
            <w:tcW w:w="1447"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TIA Portal</w:t>
            </w:r>
          </w:p>
        </w:tc>
        <w:tc>
          <w:tcPr>
            <w:tcW w:w="1449"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Siemens S7-1200 G2</w:t>
            </w:r>
          </w:p>
        </w:tc>
        <w:tc>
          <w:tcPr>
            <w:tcW w:w="1901"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highlight w:val="none"/>
                <w:shd w:fill="auto" w:val="clear"/>
              </w:rPr>
            </w:pPr>
            <w:r>
              <w:rPr>
                <w:rFonts w:eastAsia="Calibri" w:cs="Calibri"/>
                <w:sz w:val="19"/>
                <w:szCs w:val="19"/>
                <w:shd w:fill="auto" w:val="clear"/>
              </w:rPr>
              <w:t>10.116.254.212</w:t>
            </w:r>
          </w:p>
        </w:tc>
        <w:tc>
          <w:tcPr>
            <w:tcW w:w="1901"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10.116.254.254</w:t>
            </w:r>
          </w:p>
        </w:tc>
        <w:tc>
          <w:tcPr>
            <w:tcW w:w="2662"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Ping replies from PLC at .254</w:t>
            </w:r>
          </w:p>
        </w:tc>
      </w:tr>
    </w:tbl>
    <w:p>
      <w:pPr>
        <w:pStyle w:val="Heading2"/>
        <w:keepNext w:val="true"/>
        <w:spacing w:before="220" w:after="100"/>
        <w:rPr/>
      </w:pPr>
      <w:r>
        <w:rPr>
          <w:rFonts w:eastAsia="Calibri" w:cs="Calibri" w:ascii="Calibri" w:hAnsi="Calibri"/>
          <w:b/>
          <w:bCs/>
          <w:color w:val="2F5496"/>
          <w:sz w:val="25"/>
          <w:szCs w:val="25"/>
        </w:rPr>
        <w:t>1.3 Conclusions</w:t>
      </w:r>
    </w:p>
    <w:p>
      <w:pPr>
        <w:pStyle w:val="Normal"/>
        <w:spacing w:lineRule="auto" w:line="276" w:before="0" w:after="120"/>
        <w:rPr/>
      </w:pPr>
      <w:r>
        <w:rPr>
          <w:rFonts w:eastAsia="Calibri" w:cs="Calibri"/>
          <w:sz w:val="22"/>
          <w:szCs w:val="22"/>
        </w:rPr>
        <w:t>Every method was able to give a controller a valid address on the lab subnet, and the ping test clearly showed the change: before each change the new address returned “Destination host unreachable” from the network gateway, and after the change it returned direct replies from the PLC. The lab showed that the right method depends on the situation. USB and BOOTP work on a controller with no usable IP (for example a brand-new unit), whereas RSLinx and Studio 5000 are quick but need the PLC to be reachable on the network already. On the Siemens side, the address is assigned from TIA Portal. The main lesson is that an IP change should always be confirmed at both the network layer (ping) and the application layer (a Who Active / RSWho browse), because ping alone does not prove that the controller is communicating.</w:t>
      </w:r>
    </w:p>
    <w:p>
      <w:pPr>
        <w:pStyle w:val="Heading1"/>
        <w:spacing w:before="300" w:after="140"/>
        <w:rPr/>
      </w:pPr>
      <w:r>
        <w:rPr>
          <w:rFonts w:eastAsia="Calibri" w:cs="Calibri" w:ascii="Calibri" w:hAnsi="Calibri"/>
          <w:b/>
          <w:bCs/>
          <w:color w:val="1F3864"/>
          <w:sz w:val="30"/>
          <w:szCs w:val="30"/>
        </w:rPr>
        <w:t>2. Program Documentation</w:t>
      </w:r>
    </w:p>
    <w:p>
      <w:pPr>
        <w:pStyle w:val="Normal"/>
        <w:spacing w:lineRule="auto" w:line="276" w:before="0" w:after="120"/>
        <w:rPr/>
      </w:pPr>
      <w:r>
        <w:rPr>
          <w:rFonts w:eastAsia="Calibri" w:cs="Calibri"/>
          <w:sz w:val="22"/>
          <w:szCs w:val="22"/>
        </w:rPr>
        <w:t>Screenshots are grouped by method. The “before” and “after” IP addresses are stated in each subsection heading and in the figure captions.</w:t>
      </w:r>
    </w:p>
    <w:p>
      <w:pPr>
        <w:pStyle w:val="Heading2"/>
        <w:keepNext w:val="true"/>
        <w:spacing w:before="220" w:after="100"/>
        <w:rPr/>
      </w:pPr>
      <w:r>
        <w:rPr>
          <w:rFonts w:eastAsia="Calibri" w:cs="Calibri" w:ascii="Calibri" w:hAnsi="Calibri"/>
          <w:b/>
          <w:bCs/>
          <w:color w:val="2F5496"/>
          <w:sz w:val="25"/>
          <w:szCs w:val="25"/>
        </w:rPr>
        <w:t>2.1 RSLinx – 10.116.254.212 → 10.116.254.250</w:t>
      </w:r>
    </w:p>
    <w:p>
      <w:pPr>
        <w:pStyle w:val="Normal"/>
        <w:spacing w:lineRule="auto" w:line="276" w:before="0" w:after="120"/>
        <w:rPr/>
      </w:pPr>
      <w:r>
        <w:rPr>
          <w:rFonts w:eastAsia="Calibri" w:cs="Calibri"/>
          <w:sz w:val="22"/>
          <w:szCs w:val="22"/>
        </w:rPr>
        <w:t>The PLC was found at 10.116.254.212, which matches the label on the trainer (Figure 3). The new address, .250, was confirmed to be free by pinging it first (Figure 2); the replies came from the gateway, not from a device. In RSLinx, the Port Configuration tab of the 1756-L81E was changed from .212 to .250 with the static setting, mask 255.255.255.0 and gateway 10.116.254.1.</w:t>
      </w:r>
    </w:p>
    <w:tbl>
      <w:tblPr>
        <w:tblW w:w="9360" w:type="dxa"/>
        <w:jc w:val="start"/>
        <w:tblInd w:w="0" w:type="dxa"/>
        <w:tblLayout w:type="fixed"/>
        <w:tblCellMar>
          <w:top w:w="60" w:type="dxa"/>
          <w:start w:w="60" w:type="dxa"/>
          <w:bottom w:w="60" w:type="dxa"/>
          <w:end w:w="60" w:type="dxa"/>
        </w:tblCellMar>
      </w:tblPr>
      <w:tblGrid>
        <w:gridCol w:w="4680"/>
        <w:gridCol w:w="4680"/>
      </w:tblGrid>
      <w:tr>
        <w:trPr>
          <w:cantSplit/>
        </w:trPr>
        <w:tc>
          <w:tcPr>
            <w:tcW w:w="4680" w:type="dxa"/>
            <w:tcBorders/>
          </w:tcPr>
          <w:p>
            <w:pPr>
              <w:pStyle w:val="Normal"/>
              <w:spacing w:before="0" w:after="0"/>
              <w:jc w:val="center"/>
              <w:rPr/>
            </w:pPr>
            <w:r>
              <w:rPr/>
              <w:drawing>
                <wp:inline distT="0" distB="0" distL="0" distR="0">
                  <wp:extent cx="2762250" cy="1228725"/>
                  <wp:effectExtent l="0" t="0" r="0" b="0"/>
                  <wp:docPr id="2" name="image1" descr="image1" titl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image1" title="image1"/>
                          <pic:cNvPicPr>
                            <a:picLocks noChangeAspect="1" noChangeArrowheads="1"/>
                          </pic:cNvPicPr>
                        </pic:nvPicPr>
                        <pic:blipFill>
                          <a:blip r:embed="rId3"/>
                          <a:stretch>
                            <a:fillRect/>
                          </a:stretch>
                        </pic:blipFill>
                        <pic:spPr bwMode="auto">
                          <a:xfrm>
                            <a:off x="0" y="0"/>
                            <a:ext cx="2762250" cy="1228725"/>
                          </a:xfrm>
                          <a:prstGeom prst="rect">
                            <a:avLst/>
                          </a:prstGeom>
                          <a:noFill/>
                        </pic:spPr>
                      </pic:pic>
                    </a:graphicData>
                  </a:graphic>
                </wp:inline>
              </w:drawing>
            </w:r>
          </w:p>
          <w:p>
            <w:pPr>
              <w:pStyle w:val="Normal"/>
              <w:spacing w:before="60" w:after="60"/>
              <w:jc w:val="center"/>
              <w:rPr/>
            </w:pPr>
            <w:r>
              <w:rPr>
                <w:rFonts w:eastAsia="Calibri" w:cs="Calibri"/>
                <w:i/>
                <w:iCs/>
                <w:sz w:val="19"/>
                <w:szCs w:val="19"/>
              </w:rPr>
              <w:t>Figure 1 – Ping to 10.116.254.212 (BEFORE): replies received from the PLC</w:t>
            </w:r>
          </w:p>
        </w:tc>
        <w:tc>
          <w:tcPr>
            <w:tcW w:w="4680" w:type="dxa"/>
            <w:tcBorders/>
          </w:tcPr>
          <w:p>
            <w:pPr>
              <w:pStyle w:val="Normal"/>
              <w:spacing w:before="0" w:after="0"/>
              <w:jc w:val="center"/>
              <w:rPr/>
            </w:pPr>
            <w:r>
              <w:rPr/>
              <w:drawing>
                <wp:inline distT="0" distB="0" distL="0" distR="0">
                  <wp:extent cx="2762250" cy="1038225"/>
                  <wp:effectExtent l="0" t="0" r="0" b="0"/>
                  <wp:docPr id="3" name="image2" descr="image2" titl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image2" title="image2"/>
                          <pic:cNvPicPr>
                            <a:picLocks noChangeAspect="1" noChangeArrowheads="1"/>
                          </pic:cNvPicPr>
                        </pic:nvPicPr>
                        <pic:blipFill>
                          <a:blip r:embed="rId4"/>
                          <a:stretch>
                            <a:fillRect/>
                          </a:stretch>
                        </pic:blipFill>
                        <pic:spPr bwMode="auto">
                          <a:xfrm>
                            <a:off x="0" y="0"/>
                            <a:ext cx="2762250" cy="1038225"/>
                          </a:xfrm>
                          <a:prstGeom prst="rect">
                            <a:avLst/>
                          </a:prstGeom>
                          <a:noFill/>
                        </pic:spPr>
                      </pic:pic>
                    </a:graphicData>
                  </a:graphic>
                </wp:inline>
              </w:drawing>
            </w:r>
          </w:p>
          <w:p>
            <w:pPr>
              <w:pStyle w:val="Normal"/>
              <w:spacing w:before="60" w:after="60"/>
              <w:jc w:val="center"/>
              <w:rPr/>
            </w:pPr>
            <w:r>
              <w:rPr>
                <w:rFonts w:eastAsia="Calibri" w:cs="Calibri"/>
                <w:i/>
                <w:iCs/>
                <w:sz w:val="19"/>
                <w:szCs w:val="19"/>
              </w:rPr>
              <w:t>Figure 2 – Ping to 10.116.254.250 (BEFORE): destination host unreachable, address free</w:t>
            </w:r>
          </w:p>
        </w:tc>
      </w:tr>
      <w:tr>
        <w:trPr>
          <w:cantSplit/>
        </w:trPr>
        <w:tc>
          <w:tcPr>
            <w:tcW w:w="4680" w:type="dxa"/>
            <w:tcBorders/>
          </w:tcPr>
          <w:p>
            <w:pPr>
              <w:pStyle w:val="Normal"/>
              <w:spacing w:before="0" w:after="0"/>
              <w:jc w:val="center"/>
              <w:rPr/>
            </w:pPr>
            <w:r>
              <w:rPr/>
              <w:drawing>
                <wp:inline distT="0" distB="0" distL="0" distR="0">
                  <wp:extent cx="2571750" cy="2562225"/>
                  <wp:effectExtent l="0" t="0" r="0" b="0"/>
                  <wp:docPr id="4" name="image3" descr="image3" titl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image3" title="image3"/>
                          <pic:cNvPicPr>
                            <a:picLocks noChangeAspect="1" noChangeArrowheads="1"/>
                          </pic:cNvPicPr>
                        </pic:nvPicPr>
                        <pic:blipFill>
                          <a:blip r:embed="rId5"/>
                          <a:stretch>
                            <a:fillRect/>
                          </a:stretch>
                        </pic:blipFill>
                        <pic:spPr bwMode="auto">
                          <a:xfrm>
                            <a:off x="0" y="0"/>
                            <a:ext cx="2571750" cy="2562225"/>
                          </a:xfrm>
                          <a:prstGeom prst="rect">
                            <a:avLst/>
                          </a:prstGeom>
                          <a:noFill/>
                        </pic:spPr>
                      </pic:pic>
                    </a:graphicData>
                  </a:graphic>
                </wp:inline>
              </w:drawing>
            </w:r>
          </w:p>
          <w:p>
            <w:pPr>
              <w:pStyle w:val="Normal"/>
              <w:spacing w:before="60" w:after="60"/>
              <w:jc w:val="center"/>
              <w:rPr/>
            </w:pPr>
            <w:r>
              <w:rPr>
                <w:rFonts w:eastAsia="Calibri" w:cs="Calibri"/>
                <w:i/>
                <w:iCs/>
                <w:sz w:val="19"/>
                <w:szCs w:val="19"/>
              </w:rPr>
              <w:t>Figure 3 – Trainer label: PLC IP 10.116.254.212, HMI IP 10.116.254.213</w:t>
            </w:r>
          </w:p>
        </w:tc>
        <w:tc>
          <w:tcPr>
            <w:tcW w:w="4680" w:type="dxa"/>
            <w:tcBorders/>
          </w:tcPr>
          <w:p>
            <w:pPr>
              <w:pStyle w:val="Normal"/>
              <w:spacing w:before="0" w:after="0"/>
              <w:jc w:val="center"/>
              <w:rPr/>
            </w:pPr>
            <w:r>
              <w:rPr/>
              <w:drawing>
                <wp:inline distT="0" distB="0" distL="0" distR="0">
                  <wp:extent cx="2571750" cy="2066925"/>
                  <wp:effectExtent l="0" t="0" r="0" b="0"/>
                  <wp:docPr id="5" name="image4" descr="image4" titl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image4" title="image4"/>
                          <pic:cNvPicPr>
                            <a:picLocks noChangeAspect="1" noChangeArrowheads="1"/>
                          </pic:cNvPicPr>
                        </pic:nvPicPr>
                        <pic:blipFill>
                          <a:blip r:embed="rId6"/>
                          <a:stretch>
                            <a:fillRect/>
                          </a:stretch>
                        </pic:blipFill>
                        <pic:spPr bwMode="auto">
                          <a:xfrm>
                            <a:off x="0" y="0"/>
                            <a:ext cx="2571750" cy="2066925"/>
                          </a:xfrm>
                          <a:prstGeom prst="rect">
                            <a:avLst/>
                          </a:prstGeom>
                          <a:noFill/>
                        </pic:spPr>
                      </pic:pic>
                    </a:graphicData>
                  </a:graphic>
                </wp:inline>
              </w:drawing>
            </w:r>
          </w:p>
          <w:p>
            <w:pPr>
              <w:pStyle w:val="Normal"/>
              <w:spacing w:before="60" w:after="60"/>
              <w:jc w:val="center"/>
              <w:rPr/>
            </w:pPr>
            <w:r>
              <w:rPr>
                <w:rFonts w:eastAsia="Calibri" w:cs="Calibri"/>
                <w:i/>
                <w:iCs/>
                <w:sz w:val="19"/>
                <w:szCs w:val="19"/>
              </w:rPr>
              <w:t>Figure 4 – RSLinx RSWho: PLC at 10.116.254.212 (BEFORE)</w:t>
            </w:r>
          </w:p>
        </w:tc>
      </w:tr>
      <w:tr>
        <w:trPr>
          <w:cantSplit/>
        </w:trPr>
        <w:tc>
          <w:tcPr>
            <w:tcW w:w="4680" w:type="dxa"/>
            <w:tcBorders/>
          </w:tcPr>
          <w:p>
            <w:pPr>
              <w:pStyle w:val="Normal"/>
              <w:spacing w:before="0" w:after="0"/>
              <w:jc w:val="center"/>
              <w:rPr/>
            </w:pPr>
            <w:r>
              <w:rPr/>
              <w:drawing>
                <wp:inline distT="0" distB="0" distL="0" distR="0">
                  <wp:extent cx="2381250" cy="3228975"/>
                  <wp:effectExtent l="0" t="0" r="0" b="0"/>
                  <wp:docPr id="6" name="image5" descr="image5" titl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image5" title="image5"/>
                          <pic:cNvPicPr>
                            <a:picLocks noChangeAspect="1" noChangeArrowheads="1"/>
                          </pic:cNvPicPr>
                        </pic:nvPicPr>
                        <pic:blipFill>
                          <a:blip r:embed="rId7"/>
                          <a:stretch>
                            <a:fillRect/>
                          </a:stretch>
                        </pic:blipFill>
                        <pic:spPr bwMode="auto">
                          <a:xfrm>
                            <a:off x="0" y="0"/>
                            <a:ext cx="2381250" cy="3228975"/>
                          </a:xfrm>
                          <a:prstGeom prst="rect">
                            <a:avLst/>
                          </a:prstGeom>
                          <a:noFill/>
                        </pic:spPr>
                      </pic:pic>
                    </a:graphicData>
                  </a:graphic>
                </wp:inline>
              </w:drawing>
            </w:r>
          </w:p>
          <w:p>
            <w:pPr>
              <w:pStyle w:val="Normal"/>
              <w:spacing w:before="60" w:after="60"/>
              <w:jc w:val="center"/>
              <w:rPr/>
            </w:pPr>
            <w:r>
              <w:rPr>
                <w:rFonts w:eastAsia="Calibri" w:cs="Calibri"/>
                <w:i/>
                <w:iCs/>
                <w:sz w:val="19"/>
                <w:szCs w:val="19"/>
              </w:rPr>
              <w:t>Figure 5 – Port Configuration (BEFORE): IP 10.116.254.212</w:t>
            </w:r>
          </w:p>
        </w:tc>
        <w:tc>
          <w:tcPr>
            <w:tcW w:w="4680" w:type="dxa"/>
            <w:tcBorders/>
          </w:tcPr>
          <w:p>
            <w:pPr>
              <w:pStyle w:val="Normal"/>
              <w:spacing w:before="0" w:after="0"/>
              <w:jc w:val="center"/>
              <w:rPr/>
            </w:pPr>
            <w:r>
              <w:rPr/>
              <w:drawing>
                <wp:inline distT="0" distB="0" distL="0" distR="0">
                  <wp:extent cx="2381250" cy="3228975"/>
                  <wp:effectExtent l="0" t="0" r="0" b="0"/>
                  <wp:docPr id="7" name="image6" descr="image6" titl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image6" title="image6"/>
                          <pic:cNvPicPr>
                            <a:picLocks noChangeAspect="1" noChangeArrowheads="1"/>
                          </pic:cNvPicPr>
                        </pic:nvPicPr>
                        <pic:blipFill>
                          <a:blip r:embed="rId8"/>
                          <a:stretch>
                            <a:fillRect/>
                          </a:stretch>
                        </pic:blipFill>
                        <pic:spPr bwMode="auto">
                          <a:xfrm>
                            <a:off x="0" y="0"/>
                            <a:ext cx="2381250" cy="3228975"/>
                          </a:xfrm>
                          <a:prstGeom prst="rect">
                            <a:avLst/>
                          </a:prstGeom>
                          <a:noFill/>
                        </pic:spPr>
                      </pic:pic>
                    </a:graphicData>
                  </a:graphic>
                </wp:inline>
              </w:drawing>
            </w:r>
          </w:p>
          <w:p>
            <w:pPr>
              <w:pStyle w:val="Normal"/>
              <w:spacing w:before="60" w:after="60"/>
              <w:jc w:val="center"/>
              <w:rPr/>
            </w:pPr>
            <w:r>
              <w:rPr>
                <w:rFonts w:eastAsia="Calibri" w:cs="Calibri"/>
                <w:i/>
                <w:iCs/>
                <w:sz w:val="19"/>
                <w:szCs w:val="19"/>
              </w:rPr>
              <w:t>Figure 6 – Port Configuration (AFTER): IP 10.116.254.250</w:t>
            </w:r>
          </w:p>
        </w:tc>
      </w:tr>
      <w:tr>
        <w:trPr>
          <w:cantSplit/>
        </w:trPr>
        <w:tc>
          <w:tcPr>
            <w:tcW w:w="4680" w:type="dxa"/>
            <w:tcBorders/>
          </w:tcPr>
          <w:p>
            <w:pPr>
              <w:pStyle w:val="Normal"/>
              <w:spacing w:before="0" w:after="0"/>
              <w:jc w:val="center"/>
              <w:rPr/>
            </w:pPr>
            <w:r>
              <w:rPr/>
              <w:drawing>
                <wp:inline distT="0" distB="0" distL="0" distR="0">
                  <wp:extent cx="2762250" cy="1209675"/>
                  <wp:effectExtent l="0" t="0" r="0" b="0"/>
                  <wp:docPr id="8" name="image7" descr="image7" titl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image7" title="image7"/>
                          <pic:cNvPicPr>
                            <a:picLocks noChangeAspect="1" noChangeArrowheads="1"/>
                          </pic:cNvPicPr>
                        </pic:nvPicPr>
                        <pic:blipFill>
                          <a:blip r:embed="rId9"/>
                          <a:stretch>
                            <a:fillRect/>
                          </a:stretch>
                        </pic:blipFill>
                        <pic:spPr bwMode="auto">
                          <a:xfrm>
                            <a:off x="0" y="0"/>
                            <a:ext cx="2762250" cy="1209675"/>
                          </a:xfrm>
                          <a:prstGeom prst="rect">
                            <a:avLst/>
                          </a:prstGeom>
                          <a:noFill/>
                        </pic:spPr>
                      </pic:pic>
                    </a:graphicData>
                  </a:graphic>
                </wp:inline>
              </w:drawing>
            </w:r>
          </w:p>
          <w:p>
            <w:pPr>
              <w:pStyle w:val="Normal"/>
              <w:spacing w:before="60" w:after="60"/>
              <w:jc w:val="center"/>
              <w:rPr/>
            </w:pPr>
            <w:r>
              <w:rPr>
                <w:rFonts w:eastAsia="Calibri" w:cs="Calibri"/>
                <w:i/>
                <w:iCs/>
                <w:sz w:val="19"/>
                <w:szCs w:val="19"/>
              </w:rPr>
              <w:t>Figure 7 – RSWho (AFTER): PLC now at 10.116.254.250</w:t>
            </w:r>
          </w:p>
        </w:tc>
        <w:tc>
          <w:tcPr>
            <w:tcW w:w="4680" w:type="dxa"/>
            <w:tcBorders/>
          </w:tcPr>
          <w:p>
            <w:pPr>
              <w:pStyle w:val="Normal"/>
              <w:spacing w:before="0" w:after="0"/>
              <w:jc w:val="center"/>
              <w:rPr/>
            </w:pPr>
            <w:r>
              <w:rPr/>
              <w:drawing>
                <wp:inline distT="0" distB="0" distL="0" distR="0">
                  <wp:extent cx="2762250" cy="1247775"/>
                  <wp:effectExtent l="0" t="0" r="0" b="0"/>
                  <wp:docPr id="9" name="image8" descr="image8" titl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image8" title="image8"/>
                          <pic:cNvPicPr>
                            <a:picLocks noChangeAspect="1" noChangeArrowheads="1"/>
                          </pic:cNvPicPr>
                        </pic:nvPicPr>
                        <pic:blipFill>
                          <a:blip r:embed="rId10"/>
                          <a:stretch>
                            <a:fillRect/>
                          </a:stretch>
                        </pic:blipFill>
                        <pic:spPr bwMode="auto">
                          <a:xfrm>
                            <a:off x="0" y="0"/>
                            <a:ext cx="2762250" cy="1247775"/>
                          </a:xfrm>
                          <a:prstGeom prst="rect">
                            <a:avLst/>
                          </a:prstGeom>
                          <a:noFill/>
                        </pic:spPr>
                      </pic:pic>
                    </a:graphicData>
                  </a:graphic>
                </wp:inline>
              </w:drawing>
            </w:r>
          </w:p>
          <w:p>
            <w:pPr>
              <w:pStyle w:val="Normal"/>
              <w:spacing w:before="60" w:after="60"/>
              <w:jc w:val="center"/>
              <w:rPr/>
            </w:pPr>
            <w:r>
              <w:rPr>
                <w:rFonts w:eastAsia="Calibri" w:cs="Calibri"/>
                <w:i/>
                <w:iCs/>
                <w:sz w:val="19"/>
                <w:szCs w:val="19"/>
              </w:rPr>
              <w:t>Figure 8 – Ping to 10.116.254.250 (AFTER): direct replies from the PLC</w:t>
            </w:r>
          </w:p>
        </w:tc>
      </w:tr>
    </w:tbl>
    <w:p>
      <w:pPr>
        <w:pStyle w:val="Heading2"/>
        <w:keepNext w:val="true"/>
        <w:spacing w:before="220" w:after="100"/>
        <w:rPr/>
      </w:pPr>
      <w:r>
        <w:rPr>
          <w:rFonts w:eastAsia="Calibri" w:cs="Calibri" w:ascii="Calibri" w:hAnsi="Calibri"/>
          <w:b/>
          <w:bCs/>
          <w:color w:val="2F5496"/>
          <w:sz w:val="25"/>
          <w:szCs w:val="25"/>
        </w:rPr>
        <w:t>2.2 Studio 5000 – 10.116.254.250 → 10.116.254.251</w:t>
      </w:r>
    </w:p>
    <w:p>
      <w:pPr>
        <w:pStyle w:val="Normal"/>
        <w:spacing w:lineRule="auto" w:line="276" w:before="0" w:after="120"/>
        <w:rPr/>
      </w:pPr>
      <w:r>
        <w:rPr>
          <w:rFonts w:eastAsia="Calibri" w:cs="Calibri"/>
          <w:sz w:val="22"/>
          <w:szCs w:val="22"/>
        </w:rPr>
        <w:t>With the PLC online at 10.116.254.250 (Logix Designer path shown in Figure 10), the IP settings were changed from the Ethernet port of the controller’s I/O configuration. As before, .251 returned “destination host unreachable” before the change and direct replies afterward, while the old address .250 stopped answering.</w:t>
      </w:r>
    </w:p>
    <w:tbl>
      <w:tblPr>
        <w:tblW w:w="9360" w:type="dxa"/>
        <w:jc w:val="start"/>
        <w:tblInd w:w="0" w:type="dxa"/>
        <w:tblLayout w:type="fixed"/>
        <w:tblCellMar>
          <w:top w:w="60" w:type="dxa"/>
          <w:start w:w="60" w:type="dxa"/>
          <w:bottom w:w="60" w:type="dxa"/>
          <w:end w:w="60" w:type="dxa"/>
        </w:tblCellMar>
      </w:tblPr>
      <w:tblGrid>
        <w:gridCol w:w="4680"/>
        <w:gridCol w:w="4680"/>
      </w:tblGrid>
      <w:tr>
        <w:trPr>
          <w:cantSplit/>
        </w:trPr>
        <w:tc>
          <w:tcPr>
            <w:tcW w:w="4680" w:type="dxa"/>
            <w:tcBorders/>
          </w:tcPr>
          <w:p>
            <w:pPr>
              <w:pStyle w:val="Normal"/>
              <w:spacing w:before="0" w:after="0"/>
              <w:jc w:val="center"/>
              <w:rPr/>
            </w:pPr>
            <w:r>
              <w:rPr/>
              <w:drawing>
                <wp:inline distT="0" distB="0" distL="0" distR="0">
                  <wp:extent cx="2476500" cy="923925"/>
                  <wp:effectExtent l="0" t="0" r="0" b="0"/>
                  <wp:docPr id="10" name="image9" descr="image9" titl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image9" title="image9"/>
                          <pic:cNvPicPr>
                            <a:picLocks noChangeAspect="1" noChangeArrowheads="1"/>
                          </pic:cNvPicPr>
                        </pic:nvPicPr>
                        <pic:blipFill>
                          <a:blip r:embed="rId11"/>
                          <a:stretch>
                            <a:fillRect/>
                          </a:stretch>
                        </pic:blipFill>
                        <pic:spPr bwMode="auto">
                          <a:xfrm>
                            <a:off x="0" y="0"/>
                            <a:ext cx="2476500" cy="923925"/>
                          </a:xfrm>
                          <a:prstGeom prst="rect">
                            <a:avLst/>
                          </a:prstGeom>
                          <a:noFill/>
                        </pic:spPr>
                      </pic:pic>
                    </a:graphicData>
                  </a:graphic>
                </wp:inline>
              </w:drawing>
            </w:r>
          </w:p>
          <w:p>
            <w:pPr>
              <w:pStyle w:val="Normal"/>
              <w:spacing w:before="60" w:after="60"/>
              <w:jc w:val="center"/>
              <w:rPr/>
            </w:pPr>
            <w:r>
              <w:rPr>
                <w:rFonts w:eastAsia="Calibri" w:cs="Calibri"/>
                <w:i/>
                <w:iCs/>
                <w:sz w:val="19"/>
                <w:szCs w:val="19"/>
              </w:rPr>
              <w:t>Figure 9 – Ping to 10.116.254.251 (BEFORE): unreachable</w:t>
            </w:r>
          </w:p>
        </w:tc>
        <w:tc>
          <w:tcPr>
            <w:tcW w:w="4680" w:type="dxa"/>
            <w:tcBorders/>
          </w:tcPr>
          <w:p>
            <w:pPr>
              <w:pStyle w:val="Normal"/>
              <w:spacing w:before="0" w:after="0"/>
              <w:jc w:val="center"/>
              <w:rPr/>
            </w:pPr>
            <w:r>
              <w:rPr/>
              <w:drawing>
                <wp:inline distT="0" distB="0" distL="0" distR="0">
                  <wp:extent cx="2476500" cy="2933700"/>
                  <wp:effectExtent l="0" t="0" r="0" b="0"/>
                  <wp:docPr id="11" name="image10" descr="image10" titl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descr="image10" title="image10"/>
                          <pic:cNvPicPr>
                            <a:picLocks noChangeAspect="1" noChangeArrowheads="1"/>
                          </pic:cNvPicPr>
                        </pic:nvPicPr>
                        <pic:blipFill>
                          <a:blip r:embed="rId12"/>
                          <a:stretch>
                            <a:fillRect/>
                          </a:stretch>
                        </pic:blipFill>
                        <pic:spPr bwMode="auto">
                          <a:xfrm>
                            <a:off x="0" y="0"/>
                            <a:ext cx="2476500" cy="2933700"/>
                          </a:xfrm>
                          <a:prstGeom prst="rect">
                            <a:avLst/>
                          </a:prstGeom>
                          <a:noFill/>
                        </pic:spPr>
                      </pic:pic>
                    </a:graphicData>
                  </a:graphic>
                </wp:inline>
              </w:drawing>
            </w:r>
          </w:p>
          <w:p>
            <w:pPr>
              <w:pStyle w:val="Normal"/>
              <w:spacing w:before="60" w:after="60"/>
              <w:jc w:val="center"/>
              <w:rPr/>
            </w:pPr>
            <w:r>
              <w:rPr>
                <w:rFonts w:eastAsia="Calibri" w:cs="Calibri"/>
                <w:i/>
                <w:iCs/>
                <w:sz w:val="19"/>
                <w:szCs w:val="19"/>
              </w:rPr>
              <w:t>Figure 10 – Logix Designer online, path Ethernet\10.116.254.250 (BEFORE)</w:t>
            </w:r>
          </w:p>
        </w:tc>
      </w:tr>
    </w:tbl>
    <w:p>
      <w:pPr>
        <w:pStyle w:val="Normal"/>
        <w:keepNext w:val="true"/>
        <w:spacing w:before="120" w:after="0"/>
        <w:jc w:val="center"/>
        <w:rPr/>
      </w:pPr>
      <w:r>
        <w:rPr/>
        <w:drawing>
          <wp:inline distT="0" distB="0" distL="0" distR="0">
            <wp:extent cx="3429000" cy="2038350"/>
            <wp:effectExtent l="0" t="0" r="0" b="0"/>
            <wp:docPr id="12" name="image11" descr="image11" titl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descr="image11" title="image11"/>
                    <pic:cNvPicPr>
                      <a:picLocks noChangeAspect="1" noChangeArrowheads="1"/>
                    </pic:cNvPicPr>
                  </pic:nvPicPr>
                  <pic:blipFill>
                    <a:blip r:embed="rId13"/>
                    <a:stretch>
                      <a:fillRect/>
                    </a:stretch>
                  </pic:blipFill>
                  <pic:spPr bwMode="auto">
                    <a:xfrm>
                      <a:off x="0" y="0"/>
                      <a:ext cx="3429000" cy="2038350"/>
                    </a:xfrm>
                    <a:prstGeom prst="rect">
                      <a:avLst/>
                    </a:prstGeom>
                    <a:noFill/>
                  </pic:spPr>
                </pic:pic>
              </a:graphicData>
            </a:graphic>
          </wp:inline>
        </w:drawing>
      </w:r>
    </w:p>
    <w:p>
      <w:pPr>
        <w:pStyle w:val="Normal"/>
        <w:spacing w:before="60" w:after="180"/>
        <w:jc w:val="center"/>
        <w:rPr/>
      </w:pPr>
      <w:r>
        <w:rPr>
          <w:rFonts w:eastAsia="Calibri" w:cs="Calibri"/>
          <w:i/>
          <w:iCs/>
          <w:sz w:val="19"/>
          <w:szCs w:val="19"/>
        </w:rPr>
        <w:t>Figure 11 – Ethernet port settings: manually configured IP, mask 255.255.255.0, gateway 10.116.254.1 (BEFORE edit shows .250)</w:t>
      </w:r>
    </w:p>
    <w:tbl>
      <w:tblPr>
        <w:tblW w:w="9360" w:type="dxa"/>
        <w:jc w:val="start"/>
        <w:tblInd w:w="0" w:type="dxa"/>
        <w:tblLayout w:type="fixed"/>
        <w:tblCellMar>
          <w:top w:w="60" w:type="dxa"/>
          <w:start w:w="60" w:type="dxa"/>
          <w:bottom w:w="60" w:type="dxa"/>
          <w:end w:w="60" w:type="dxa"/>
        </w:tblCellMar>
      </w:tblPr>
      <w:tblGrid>
        <w:gridCol w:w="4680"/>
        <w:gridCol w:w="4680"/>
      </w:tblGrid>
      <w:tr>
        <w:trPr>
          <w:cantSplit/>
        </w:trPr>
        <w:tc>
          <w:tcPr>
            <w:tcW w:w="4680" w:type="dxa"/>
            <w:tcBorders/>
          </w:tcPr>
          <w:p>
            <w:pPr>
              <w:pStyle w:val="Normal"/>
              <w:spacing w:before="0" w:after="0"/>
              <w:jc w:val="center"/>
              <w:rPr/>
            </w:pPr>
            <w:r>
              <w:rPr/>
              <w:drawing>
                <wp:inline distT="0" distB="0" distL="0" distR="0">
                  <wp:extent cx="2762250" cy="1181100"/>
                  <wp:effectExtent l="0" t="0" r="0" b="0"/>
                  <wp:docPr id="13" name="image12" descr="image12" titl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descr="image12" title="image12"/>
                          <pic:cNvPicPr>
                            <a:picLocks noChangeAspect="1" noChangeArrowheads="1"/>
                          </pic:cNvPicPr>
                        </pic:nvPicPr>
                        <pic:blipFill>
                          <a:blip r:embed="rId14"/>
                          <a:stretch>
                            <a:fillRect/>
                          </a:stretch>
                        </pic:blipFill>
                        <pic:spPr bwMode="auto">
                          <a:xfrm>
                            <a:off x="0" y="0"/>
                            <a:ext cx="2762250" cy="1181100"/>
                          </a:xfrm>
                          <a:prstGeom prst="rect">
                            <a:avLst/>
                          </a:prstGeom>
                          <a:noFill/>
                        </pic:spPr>
                      </pic:pic>
                    </a:graphicData>
                  </a:graphic>
                </wp:inline>
              </w:drawing>
            </w:r>
          </w:p>
          <w:p>
            <w:pPr>
              <w:pStyle w:val="Normal"/>
              <w:spacing w:before="60" w:after="60"/>
              <w:jc w:val="center"/>
              <w:rPr/>
            </w:pPr>
            <w:r>
              <w:rPr>
                <w:rFonts w:eastAsia="Calibri" w:cs="Calibri"/>
                <w:i/>
                <w:iCs/>
                <w:sz w:val="19"/>
                <w:szCs w:val="19"/>
              </w:rPr>
              <w:t>Figure 12 – RSWho (AFTER): PLC listed at 10.116.254.251</w:t>
            </w:r>
          </w:p>
        </w:tc>
        <w:tc>
          <w:tcPr>
            <w:tcW w:w="4680" w:type="dxa"/>
            <w:tcBorders/>
          </w:tcPr>
          <w:p>
            <w:pPr>
              <w:pStyle w:val="Normal"/>
              <w:spacing w:before="0" w:after="0"/>
              <w:jc w:val="center"/>
              <w:rPr/>
            </w:pPr>
            <w:r>
              <w:rPr/>
              <w:drawing>
                <wp:inline distT="0" distB="0" distL="0" distR="0">
                  <wp:extent cx="2762250" cy="1047750"/>
                  <wp:effectExtent l="0" t="0" r="0" b="0"/>
                  <wp:docPr id="14" name="image13" descr="image13" titl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descr="image13" title="image13"/>
                          <pic:cNvPicPr>
                            <a:picLocks noChangeAspect="1" noChangeArrowheads="1"/>
                          </pic:cNvPicPr>
                        </pic:nvPicPr>
                        <pic:blipFill>
                          <a:blip r:embed="rId15"/>
                          <a:stretch>
                            <a:fillRect/>
                          </a:stretch>
                        </pic:blipFill>
                        <pic:spPr bwMode="auto">
                          <a:xfrm>
                            <a:off x="0" y="0"/>
                            <a:ext cx="2762250" cy="1047750"/>
                          </a:xfrm>
                          <a:prstGeom prst="rect">
                            <a:avLst/>
                          </a:prstGeom>
                          <a:noFill/>
                        </pic:spPr>
                      </pic:pic>
                    </a:graphicData>
                  </a:graphic>
                </wp:inline>
              </w:drawing>
            </w:r>
          </w:p>
          <w:p>
            <w:pPr>
              <w:pStyle w:val="Normal"/>
              <w:spacing w:before="60" w:after="60"/>
              <w:jc w:val="center"/>
              <w:rPr/>
            </w:pPr>
            <w:r>
              <w:rPr>
                <w:rFonts w:eastAsia="Calibri" w:cs="Calibri"/>
                <w:i/>
                <w:iCs/>
                <w:sz w:val="19"/>
                <w:szCs w:val="19"/>
              </w:rPr>
              <w:t>Figure 13 – Ping to old address 10.116.254.250 (AFTER): now unreachable</w:t>
            </w:r>
          </w:p>
        </w:tc>
      </w:tr>
      <w:tr>
        <w:trPr>
          <w:cantSplit/>
        </w:trPr>
        <w:tc>
          <w:tcPr>
            <w:tcW w:w="4680" w:type="dxa"/>
            <w:tcBorders/>
          </w:tcPr>
          <w:p>
            <w:pPr>
              <w:pStyle w:val="Normal"/>
              <w:spacing w:before="0" w:after="0"/>
              <w:jc w:val="center"/>
              <w:rPr/>
            </w:pPr>
            <w:r>
              <w:rPr/>
              <w:drawing>
                <wp:inline distT="0" distB="0" distL="0" distR="0">
                  <wp:extent cx="2667000" cy="1171575"/>
                  <wp:effectExtent l="0" t="0" r="0" b="0"/>
                  <wp:docPr id="15" name="image14" descr="image14" titl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descr="image14" title="image14"/>
                          <pic:cNvPicPr>
                            <a:picLocks noChangeAspect="1" noChangeArrowheads="1"/>
                          </pic:cNvPicPr>
                        </pic:nvPicPr>
                        <pic:blipFill>
                          <a:blip r:embed="rId16"/>
                          <a:stretch>
                            <a:fillRect/>
                          </a:stretch>
                        </pic:blipFill>
                        <pic:spPr bwMode="auto">
                          <a:xfrm>
                            <a:off x="0" y="0"/>
                            <a:ext cx="2667000" cy="1171575"/>
                          </a:xfrm>
                          <a:prstGeom prst="rect">
                            <a:avLst/>
                          </a:prstGeom>
                          <a:noFill/>
                        </pic:spPr>
                      </pic:pic>
                    </a:graphicData>
                  </a:graphic>
                </wp:inline>
              </w:drawing>
            </w:r>
          </w:p>
          <w:p>
            <w:pPr>
              <w:pStyle w:val="Normal"/>
              <w:spacing w:before="60" w:after="60"/>
              <w:jc w:val="center"/>
              <w:rPr/>
            </w:pPr>
            <w:r>
              <w:rPr>
                <w:rFonts w:eastAsia="Calibri" w:cs="Calibri"/>
                <w:i/>
                <w:iCs/>
                <w:sz w:val="19"/>
                <w:szCs w:val="19"/>
              </w:rPr>
              <w:t>Figure 14 – Ping to 10.116.254.251 (AFTER): direct replies from the PLC</w:t>
            </w:r>
          </w:p>
        </w:tc>
        <w:tc>
          <w:tcPr>
            <w:tcW w:w="4680" w:type="dxa"/>
            <w:tcBorders/>
          </w:tcPr>
          <w:p>
            <w:pPr>
              <w:pStyle w:val="Normal"/>
              <w:spacing w:before="0" w:after="0"/>
              <w:jc w:val="center"/>
              <w:rPr/>
            </w:pPr>
            <w:r>
              <w:rPr/>
              <w:drawing>
                <wp:inline distT="0" distB="0" distL="0" distR="0">
                  <wp:extent cx="2667000" cy="1962150"/>
                  <wp:effectExtent l="0" t="0" r="0" b="0"/>
                  <wp:docPr id="16" name="image15" descr="image15" titl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descr="image15" title="image15"/>
                          <pic:cNvPicPr>
                            <a:picLocks noChangeAspect="1" noChangeArrowheads="1"/>
                          </pic:cNvPicPr>
                        </pic:nvPicPr>
                        <pic:blipFill>
                          <a:blip r:embed="rId17"/>
                          <a:stretch>
                            <a:fillRect/>
                          </a:stretch>
                        </pic:blipFill>
                        <pic:spPr bwMode="auto">
                          <a:xfrm>
                            <a:off x="0" y="0"/>
                            <a:ext cx="2667000" cy="1962150"/>
                          </a:xfrm>
                          <a:prstGeom prst="rect">
                            <a:avLst/>
                          </a:prstGeom>
                          <a:noFill/>
                        </pic:spPr>
                      </pic:pic>
                    </a:graphicData>
                  </a:graphic>
                </wp:inline>
              </w:drawing>
            </w:r>
          </w:p>
          <w:p>
            <w:pPr>
              <w:pStyle w:val="Normal"/>
              <w:spacing w:before="60" w:after="60"/>
              <w:jc w:val="center"/>
              <w:rPr/>
            </w:pPr>
            <w:r>
              <w:rPr>
                <w:rFonts w:eastAsia="Calibri" w:cs="Calibri"/>
                <w:i/>
                <w:iCs/>
                <w:sz w:val="19"/>
                <w:szCs w:val="19"/>
              </w:rPr>
              <w:t>Figure 15 – FactoryTalk Linx Who Active: PLC at 10.116.254.251</w:t>
            </w:r>
          </w:p>
        </w:tc>
      </w:tr>
    </w:tbl>
    <w:p>
      <w:pPr>
        <w:pStyle w:val="Normal"/>
        <w:keepNext w:val="true"/>
        <w:spacing w:before="120" w:after="0"/>
        <w:jc w:val="center"/>
        <w:rPr/>
      </w:pPr>
      <w:r>
        <w:rPr/>
        <w:drawing>
          <wp:inline distT="0" distB="0" distL="0" distR="0">
            <wp:extent cx="2857500" cy="4086225"/>
            <wp:effectExtent l="0" t="0" r="0" b="0"/>
            <wp:docPr id="17" name="image16" descr="image16" titl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6" descr="image16" title="image16"/>
                    <pic:cNvPicPr>
                      <a:picLocks noChangeAspect="1" noChangeArrowheads="1"/>
                    </pic:cNvPicPr>
                  </pic:nvPicPr>
                  <pic:blipFill>
                    <a:blip r:embed="rId18"/>
                    <a:stretch>
                      <a:fillRect/>
                    </a:stretch>
                  </pic:blipFill>
                  <pic:spPr bwMode="auto">
                    <a:xfrm>
                      <a:off x="0" y="0"/>
                      <a:ext cx="2857500" cy="4086225"/>
                    </a:xfrm>
                    <a:prstGeom prst="rect">
                      <a:avLst/>
                    </a:prstGeom>
                    <a:noFill/>
                  </pic:spPr>
                </pic:pic>
              </a:graphicData>
            </a:graphic>
          </wp:inline>
        </w:drawing>
      </w:r>
    </w:p>
    <w:p>
      <w:pPr>
        <w:pStyle w:val="Normal"/>
        <w:spacing w:before="60" w:after="180"/>
        <w:jc w:val="center"/>
        <w:rPr/>
      </w:pPr>
      <w:r>
        <w:rPr>
          <w:rFonts w:eastAsia="Calibri" w:cs="Calibri"/>
          <w:i/>
          <w:iCs/>
          <w:sz w:val="19"/>
          <w:szCs w:val="19"/>
        </w:rPr>
        <w:t>Figure 16 – Logix Designer online, path Ethernet\10.116.254.251 (AFTER)</w:t>
      </w:r>
    </w:p>
    <w:p>
      <w:pPr>
        <w:pStyle w:val="Heading2"/>
        <w:keepNext w:val="true"/>
        <w:spacing w:before="220" w:after="100"/>
        <w:rPr/>
      </w:pPr>
      <w:r>
        <w:rPr>
          <w:rFonts w:eastAsia="Calibri" w:cs="Calibri" w:ascii="Calibri" w:hAnsi="Calibri"/>
          <w:b/>
          <w:bCs/>
          <w:color w:val="2F5496"/>
          <w:sz w:val="25"/>
          <w:szCs w:val="25"/>
        </w:rPr>
        <w:t>2.3 BOOTP/DHCP – IP assigned 10.116.254.250</w:t>
      </w:r>
    </w:p>
    <w:p>
      <w:pPr>
        <w:pStyle w:val="Normal"/>
        <w:spacing w:lineRule="auto" w:line="276" w:before="0" w:after="120"/>
        <w:rPr/>
      </w:pPr>
      <w:r>
        <w:rPr>
          <w:rFonts w:eastAsia="Calibri" w:cs="Calibri"/>
          <w:sz w:val="22"/>
          <w:szCs w:val="22"/>
        </w:rPr>
        <w:t>BOOTP requests are sent as broadcasts, so the Windows firewall was checked first (it was off for the domain network, Figure 18) and the workstation was given a static address of 10.116.254.250 (Figures 19–20). In the Rockwell BOOTP/DHCP tool, the controller’s request appeared in the discovery history and a relation was created that maps its MAC address to 10.116.254.250. The Enable BOOTP/DHCP command reported success and the ARP table then showed a dynamic entry for 10.116.254.250.</w:t>
      </w:r>
    </w:p>
    <w:p>
      <w:pPr>
        <w:pStyle w:val="Normal"/>
        <w:keepNext w:val="true"/>
        <w:spacing w:before="120" w:after="0"/>
        <w:jc w:val="center"/>
        <w:rPr/>
      </w:pPr>
      <w:r>
        <w:rPr/>
        <w:drawing>
          <wp:inline distT="0" distB="0" distL="0" distR="0">
            <wp:extent cx="3619500" cy="1381125"/>
            <wp:effectExtent l="0" t="0" r="0" b="0"/>
            <wp:docPr id="18" name="image18" descr="image18" titl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image18" title="image18"/>
                    <pic:cNvPicPr>
                      <a:picLocks noChangeAspect="1" noChangeArrowheads="1"/>
                    </pic:cNvPicPr>
                  </pic:nvPicPr>
                  <pic:blipFill>
                    <a:blip r:embed="rId19"/>
                    <a:stretch>
                      <a:fillRect/>
                    </a:stretch>
                  </pic:blipFill>
                  <pic:spPr bwMode="auto">
                    <a:xfrm>
                      <a:off x="0" y="0"/>
                      <a:ext cx="3619500" cy="1381125"/>
                    </a:xfrm>
                    <a:prstGeom prst="rect">
                      <a:avLst/>
                    </a:prstGeom>
                    <a:noFill/>
                  </pic:spPr>
                </pic:pic>
              </a:graphicData>
            </a:graphic>
          </wp:inline>
        </w:drawing>
      </w:r>
    </w:p>
    <w:p>
      <w:pPr>
        <w:pStyle w:val="Normal"/>
        <w:spacing w:before="60" w:after="180"/>
        <w:jc w:val="center"/>
        <w:rPr/>
      </w:pPr>
      <w:r>
        <w:rPr>
          <w:rFonts w:eastAsia="Calibri" w:cs="Calibri"/>
          <w:i/>
          <w:iCs/>
          <w:sz w:val="19"/>
          <w:szCs w:val="19"/>
        </w:rPr>
        <w:t>Figure 17 – Ping to 10.116.254.250 (BEFORE workstation was set): unreachable</w:t>
      </w:r>
    </w:p>
    <w:p>
      <w:pPr>
        <w:pStyle w:val="Normal"/>
        <w:keepNext w:val="true"/>
        <w:spacing w:before="120" w:after="0"/>
        <w:jc w:val="center"/>
        <w:rPr/>
      </w:pPr>
      <w:r>
        <w:rPr/>
        <w:drawing>
          <wp:inline distT="0" distB="0" distL="0" distR="0">
            <wp:extent cx="3619500" cy="2752725"/>
            <wp:effectExtent l="0" t="0" r="0" b="0"/>
            <wp:docPr id="19" name="image20" descr="image20" titl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0" descr="image20" title="image20"/>
                    <pic:cNvPicPr>
                      <a:picLocks noChangeAspect="1" noChangeArrowheads="1"/>
                    </pic:cNvPicPr>
                  </pic:nvPicPr>
                  <pic:blipFill>
                    <a:blip r:embed="rId20"/>
                    <a:stretch>
                      <a:fillRect/>
                    </a:stretch>
                  </pic:blipFill>
                  <pic:spPr bwMode="auto">
                    <a:xfrm>
                      <a:off x="0" y="0"/>
                      <a:ext cx="3619500" cy="2752725"/>
                    </a:xfrm>
                    <a:prstGeom prst="rect">
                      <a:avLst/>
                    </a:prstGeom>
                    <a:noFill/>
                  </pic:spPr>
                </pic:pic>
              </a:graphicData>
            </a:graphic>
          </wp:inline>
        </w:drawing>
      </w:r>
    </w:p>
    <w:p>
      <w:pPr>
        <w:pStyle w:val="Normal"/>
        <w:spacing w:before="60" w:after="180"/>
        <w:jc w:val="center"/>
        <w:rPr/>
      </w:pPr>
      <w:r>
        <w:rPr>
          <w:rFonts w:eastAsia="Calibri" w:cs="Calibri"/>
          <w:i/>
          <w:iCs/>
          <w:sz w:val="19"/>
          <w:szCs w:val="19"/>
        </w:rPr>
        <w:t>Figure 18 – Windows Defender Firewall status (domain network: firewall off)</w:t>
      </w:r>
    </w:p>
    <w:tbl>
      <w:tblPr>
        <w:tblW w:w="9360" w:type="dxa"/>
        <w:jc w:val="start"/>
        <w:tblInd w:w="0" w:type="dxa"/>
        <w:tblLayout w:type="fixed"/>
        <w:tblCellMar>
          <w:top w:w="60" w:type="dxa"/>
          <w:start w:w="60" w:type="dxa"/>
          <w:bottom w:w="60" w:type="dxa"/>
          <w:end w:w="60" w:type="dxa"/>
        </w:tblCellMar>
      </w:tblPr>
      <w:tblGrid>
        <w:gridCol w:w="4680"/>
        <w:gridCol w:w="4680"/>
      </w:tblGrid>
      <w:tr>
        <w:trPr>
          <w:cantSplit/>
        </w:trPr>
        <w:tc>
          <w:tcPr>
            <w:tcW w:w="4680" w:type="dxa"/>
            <w:tcBorders/>
          </w:tcPr>
          <w:p>
            <w:pPr>
              <w:pStyle w:val="Normal"/>
              <w:spacing w:before="0" w:after="0"/>
              <w:jc w:val="center"/>
              <w:rPr/>
            </w:pPr>
            <w:r>
              <w:rPr/>
              <w:drawing>
                <wp:inline distT="0" distB="0" distL="0" distR="0">
                  <wp:extent cx="2857500" cy="2028825"/>
                  <wp:effectExtent l="0" t="0" r="0" b="0"/>
                  <wp:docPr id="20" name="image21" descr="image21" titl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1" descr="image21" title="image21"/>
                          <pic:cNvPicPr>
                            <a:picLocks noChangeAspect="1" noChangeArrowheads="1"/>
                          </pic:cNvPicPr>
                        </pic:nvPicPr>
                        <pic:blipFill>
                          <a:blip r:embed="rId21"/>
                          <a:stretch>
                            <a:fillRect/>
                          </a:stretch>
                        </pic:blipFill>
                        <pic:spPr bwMode="auto">
                          <a:xfrm>
                            <a:off x="0" y="0"/>
                            <a:ext cx="2857500" cy="2028825"/>
                          </a:xfrm>
                          <a:prstGeom prst="rect">
                            <a:avLst/>
                          </a:prstGeom>
                          <a:noFill/>
                        </pic:spPr>
                      </pic:pic>
                    </a:graphicData>
                  </a:graphic>
                </wp:inline>
              </w:drawing>
            </w:r>
          </w:p>
          <w:p>
            <w:pPr>
              <w:pStyle w:val="Normal"/>
              <w:spacing w:before="60" w:after="60"/>
              <w:jc w:val="center"/>
              <w:rPr/>
            </w:pPr>
            <w:r>
              <w:rPr>
                <w:rFonts w:eastAsia="Calibri" w:cs="Calibri"/>
                <w:i/>
                <w:iCs/>
                <w:sz w:val="19"/>
                <w:szCs w:val="19"/>
              </w:rPr>
              <w:t>Figure 19 – Workstation TCP/IPv4 settings: 10.116.254.250 / 255.255.255.0 / 10.116.254.1</w:t>
            </w:r>
          </w:p>
        </w:tc>
        <w:tc>
          <w:tcPr>
            <w:tcW w:w="4680" w:type="dxa"/>
            <w:tcBorders/>
          </w:tcPr>
          <w:p>
            <w:pPr>
              <w:pStyle w:val="Normal"/>
              <w:spacing w:before="0" w:after="0"/>
              <w:jc w:val="center"/>
              <w:rPr/>
            </w:pPr>
            <w:r>
              <w:rPr/>
              <w:drawing>
                <wp:inline distT="0" distB="0" distL="0" distR="0">
                  <wp:extent cx="2857500" cy="838200"/>
                  <wp:effectExtent l="0" t="0" r="0" b="0"/>
                  <wp:docPr id="21" name="image22" descr="image22" titl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2" descr="image22" title="image22"/>
                          <pic:cNvPicPr>
                            <a:picLocks noChangeAspect="1" noChangeArrowheads="1"/>
                          </pic:cNvPicPr>
                        </pic:nvPicPr>
                        <pic:blipFill>
                          <a:blip r:embed="rId22"/>
                          <a:stretch>
                            <a:fillRect/>
                          </a:stretch>
                        </pic:blipFill>
                        <pic:spPr bwMode="auto">
                          <a:xfrm>
                            <a:off x="0" y="0"/>
                            <a:ext cx="2857500" cy="838200"/>
                          </a:xfrm>
                          <a:prstGeom prst="rect">
                            <a:avLst/>
                          </a:prstGeom>
                          <a:noFill/>
                        </pic:spPr>
                      </pic:pic>
                    </a:graphicData>
                  </a:graphic>
                </wp:inline>
              </w:drawing>
            </w:r>
          </w:p>
          <w:p>
            <w:pPr>
              <w:pStyle w:val="Normal"/>
              <w:spacing w:before="60" w:after="60"/>
              <w:jc w:val="center"/>
              <w:rPr/>
            </w:pPr>
            <w:r>
              <w:rPr>
                <w:rFonts w:eastAsia="Calibri" w:cs="Calibri"/>
                <w:i/>
                <w:iCs/>
                <w:sz w:val="19"/>
                <w:szCs w:val="19"/>
              </w:rPr>
              <w:t>Figure 20 – ipconfig output confirming the workstation address</w:t>
            </w:r>
          </w:p>
        </w:tc>
      </w:tr>
    </w:tbl>
    <w:p>
      <w:pPr>
        <w:pStyle w:val="Normal"/>
        <w:keepNext w:val="true"/>
        <w:spacing w:before="120" w:after="0"/>
        <w:jc w:val="center"/>
        <w:rPr/>
      </w:pPr>
      <w:r>
        <w:rPr/>
        <w:drawing>
          <wp:inline distT="0" distB="0" distL="0" distR="0">
            <wp:extent cx="3619500" cy="2419350"/>
            <wp:effectExtent l="0" t="0" r="0" b="0"/>
            <wp:docPr id="22" name="image23" descr="image23" titl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3" descr="image23" title="image23"/>
                    <pic:cNvPicPr>
                      <a:picLocks noChangeAspect="1" noChangeArrowheads="1"/>
                    </pic:cNvPicPr>
                  </pic:nvPicPr>
                  <pic:blipFill>
                    <a:blip r:embed="rId23"/>
                    <a:stretch>
                      <a:fillRect/>
                    </a:stretch>
                  </pic:blipFill>
                  <pic:spPr bwMode="auto">
                    <a:xfrm>
                      <a:off x="0" y="0"/>
                      <a:ext cx="3619500" cy="2419350"/>
                    </a:xfrm>
                    <a:prstGeom prst="rect">
                      <a:avLst/>
                    </a:prstGeom>
                    <a:noFill/>
                  </pic:spPr>
                </pic:pic>
              </a:graphicData>
            </a:graphic>
          </wp:inline>
        </w:drawing>
      </w:r>
    </w:p>
    <w:p>
      <w:pPr>
        <w:pStyle w:val="Normal"/>
        <w:spacing w:before="60" w:after="180"/>
        <w:jc w:val="center"/>
        <w:rPr/>
      </w:pPr>
      <w:r>
        <w:rPr>
          <w:rFonts w:eastAsia="Calibri" w:cs="Calibri"/>
          <w:i/>
          <w:iCs/>
          <w:sz w:val="19"/>
          <w:szCs w:val="19"/>
        </w:rPr>
        <w:t>Figure 21 – BOOTP/DHCP tool: request in discovery history, relation created for 10.116.254.7, “Enable DHCP command successful”</w:t>
      </w:r>
    </w:p>
    <w:p>
      <w:pPr>
        <w:pStyle w:val="Normal"/>
        <w:keepNext w:val="true"/>
        <w:spacing w:before="120" w:after="0"/>
        <w:jc w:val="center"/>
        <w:rPr/>
      </w:pPr>
      <w:r>
        <w:rPr/>
        <w:drawing>
          <wp:inline distT="0" distB="0" distL="0" distR="0">
            <wp:extent cx="4095750" cy="161925"/>
            <wp:effectExtent l="0" t="0" r="0" b="0"/>
            <wp:docPr id="23" name="image19" descr="image19" titl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9" descr="image19" title="image19"/>
                    <pic:cNvPicPr>
                      <a:picLocks noChangeAspect="1" noChangeArrowheads="1"/>
                    </pic:cNvPicPr>
                  </pic:nvPicPr>
                  <pic:blipFill>
                    <a:blip r:embed="rId24"/>
                    <a:stretch>
                      <a:fillRect/>
                    </a:stretch>
                  </pic:blipFill>
                  <pic:spPr bwMode="auto">
                    <a:xfrm>
                      <a:off x="0" y="0"/>
                      <a:ext cx="4095750" cy="161925"/>
                    </a:xfrm>
                    <a:prstGeom prst="rect">
                      <a:avLst/>
                    </a:prstGeom>
                    <a:noFill/>
                  </pic:spPr>
                </pic:pic>
              </a:graphicData>
            </a:graphic>
          </wp:inline>
        </w:drawing>
      </w:r>
    </w:p>
    <w:p>
      <w:pPr>
        <w:pStyle w:val="Normal"/>
        <w:spacing w:before="60" w:after="180"/>
        <w:jc w:val="center"/>
        <w:rPr/>
      </w:pPr>
      <w:r>
        <w:rPr>
          <w:rFonts w:eastAsia="Calibri" w:cs="Calibri"/>
          <w:i/>
          <w:iCs/>
          <w:sz w:val="19"/>
          <w:szCs w:val="19"/>
        </w:rPr>
        <w:t>Figure 22 – ARP table: 10.116.254.7 mapped to MAC 08-61-95-dd-34-6e (dynamic)</w:t>
      </w:r>
    </w:p>
    <w:p>
      <w:pPr>
        <w:pStyle w:val="Normal"/>
        <w:keepNext w:val="true"/>
        <w:spacing w:before="120" w:after="0"/>
        <w:jc w:val="center"/>
        <w:rPr/>
      </w:pPr>
      <w:r>
        <w:rPr/>
      </w:r>
    </w:p>
    <w:p>
      <w:pPr>
        <w:pStyle w:val="Normal"/>
        <w:spacing w:before="120" w:after="0"/>
        <w:jc w:val="center"/>
        <w:rPr/>
      </w:pPr>
      <w:r>
        <w:rPr/>
        <w:drawing>
          <wp:inline distT="0" distB="0" distL="0" distR="0">
            <wp:extent cx="3429000" cy="2905125"/>
            <wp:effectExtent l="0" t="0" r="0" b="0"/>
            <wp:docPr id="24" name="image24" descr="image24" titl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image24" title="image24"/>
                    <pic:cNvPicPr>
                      <a:picLocks noChangeAspect="1" noChangeArrowheads="1"/>
                    </pic:cNvPicPr>
                  </pic:nvPicPr>
                  <pic:blipFill>
                    <a:blip r:embed="rId25"/>
                    <a:stretch>
                      <a:fillRect/>
                    </a:stretch>
                  </pic:blipFill>
                  <pic:spPr bwMode="auto">
                    <a:xfrm>
                      <a:off x="0" y="0"/>
                      <a:ext cx="3429000" cy="2905125"/>
                    </a:xfrm>
                    <a:prstGeom prst="rect">
                      <a:avLst/>
                    </a:prstGeom>
                    <a:noFill/>
                  </pic:spPr>
                </pic:pic>
              </a:graphicData>
            </a:graphic>
          </wp:inline>
        </w:drawing>
      </w:r>
    </w:p>
    <w:p>
      <w:pPr>
        <w:pStyle w:val="Normal"/>
        <w:spacing w:before="60" w:after="180"/>
        <w:jc w:val="center"/>
        <w:rPr/>
      </w:pPr>
      <w:r>
        <w:rPr>
          <w:rFonts w:eastAsia="Calibri" w:cs="Calibri"/>
          <w:i/>
          <w:iCs/>
          <w:sz w:val="19"/>
          <w:szCs w:val="19"/>
        </w:rPr>
        <w:t>Figure 23 – Ping to 10.116.254.7 (3 of 4 requests timed out) and ping to workstation address 10.116.254.250 (replies)</w:t>
      </w:r>
    </w:p>
    <w:p>
      <w:pPr>
        <w:pStyle w:val="Heading2"/>
        <w:keepNext w:val="true"/>
        <w:spacing w:before="220" w:after="100"/>
        <w:rPr/>
      </w:pPr>
      <w:r>
        <w:rPr>
          <w:rFonts w:eastAsia="Calibri" w:cs="Calibri" w:ascii="Calibri" w:hAnsi="Calibri"/>
          <w:b/>
          <w:bCs/>
          <w:color w:val="2F5496"/>
          <w:sz w:val="25"/>
          <w:szCs w:val="25"/>
        </w:rPr>
        <w:t>2.4 USB – 0.0.0.0→ 10.116.254.212</w:t>
      </w:r>
    </w:p>
    <w:p>
      <w:pPr>
        <w:pStyle w:val="Normal"/>
        <w:spacing w:lineRule="auto" w:line="276" w:before="0" w:after="120"/>
        <w:rPr/>
      </w:pPr>
      <w:r>
        <w:rPr>
          <w:rFonts w:eastAsia="Calibri" w:cs="Calibri"/>
          <w:sz w:val="22"/>
          <w:szCs w:val="22"/>
        </w:rPr>
        <w:t>The controller was not reachable at .212 over Ethernet (Figure 24). It was then browsed over the USB port in RSLinx, where the Ethernet port appeared with 0.0.0.0. Its port configuration was set to static 10.116.254.212, mask 255.255.255.0, gateway 10.116.254.1, DNS servers 10.114.255.252 / 10.114.0.252, and domain humber.org. Ping replies from the PLC confirmed the change.</w:t>
      </w:r>
    </w:p>
    <w:tbl>
      <w:tblPr>
        <w:tblW w:w="9360" w:type="dxa"/>
        <w:jc w:val="start"/>
        <w:tblInd w:w="0" w:type="dxa"/>
        <w:tblLayout w:type="fixed"/>
        <w:tblCellMar>
          <w:top w:w="60" w:type="dxa"/>
          <w:start w:w="60" w:type="dxa"/>
          <w:bottom w:w="60" w:type="dxa"/>
          <w:end w:w="60" w:type="dxa"/>
        </w:tblCellMar>
      </w:tblPr>
      <w:tblGrid>
        <w:gridCol w:w="4680"/>
        <w:gridCol w:w="4680"/>
      </w:tblGrid>
      <w:tr>
        <w:trPr>
          <w:cantSplit/>
        </w:trPr>
        <w:tc>
          <w:tcPr>
            <w:tcW w:w="4680" w:type="dxa"/>
            <w:tcBorders/>
          </w:tcPr>
          <w:p>
            <w:pPr>
              <w:pStyle w:val="Normal"/>
              <w:spacing w:before="0" w:after="0"/>
              <w:jc w:val="center"/>
              <w:rPr/>
            </w:pPr>
            <w:r>
              <w:rPr/>
              <w:drawing>
                <wp:inline distT="0" distB="0" distL="0" distR="0">
                  <wp:extent cx="2857500" cy="1095375"/>
                  <wp:effectExtent l="0" t="0" r="0" b="0"/>
                  <wp:docPr id="25" name="image25" descr="image25" titl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image25" title="image25"/>
                          <pic:cNvPicPr>
                            <a:picLocks noChangeAspect="1" noChangeArrowheads="1"/>
                          </pic:cNvPicPr>
                        </pic:nvPicPr>
                        <pic:blipFill>
                          <a:blip r:embed="rId26"/>
                          <a:stretch>
                            <a:fillRect/>
                          </a:stretch>
                        </pic:blipFill>
                        <pic:spPr bwMode="auto">
                          <a:xfrm>
                            <a:off x="0" y="0"/>
                            <a:ext cx="2857500" cy="1095375"/>
                          </a:xfrm>
                          <a:prstGeom prst="rect">
                            <a:avLst/>
                          </a:prstGeom>
                          <a:noFill/>
                        </pic:spPr>
                      </pic:pic>
                    </a:graphicData>
                  </a:graphic>
                </wp:inline>
              </w:drawing>
            </w:r>
          </w:p>
          <w:p>
            <w:pPr>
              <w:pStyle w:val="Normal"/>
              <w:spacing w:before="60" w:after="60"/>
              <w:jc w:val="center"/>
              <w:rPr/>
            </w:pPr>
            <w:r>
              <w:rPr>
                <w:rFonts w:eastAsia="Calibri" w:cs="Calibri"/>
                <w:i/>
                <w:iCs/>
                <w:sz w:val="19"/>
                <w:szCs w:val="19"/>
              </w:rPr>
              <w:t>Figure 24 – Ping to 10.116.254.212 (BEFORE): unreachable</w:t>
            </w:r>
          </w:p>
        </w:tc>
        <w:tc>
          <w:tcPr>
            <w:tcW w:w="4680" w:type="dxa"/>
            <w:tcBorders/>
          </w:tcPr>
          <w:p>
            <w:pPr>
              <w:pStyle w:val="Normal"/>
              <w:spacing w:before="0" w:after="0"/>
              <w:jc w:val="center"/>
              <w:rPr/>
            </w:pPr>
            <w:r>
              <w:rPr/>
              <w:drawing>
                <wp:inline distT="0" distB="0" distL="0" distR="0">
                  <wp:extent cx="2857500" cy="1628775"/>
                  <wp:effectExtent l="0" t="0" r="0" b="0"/>
                  <wp:docPr id="26" name="image26" descr="image26" titl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image26" title="image26"/>
                          <pic:cNvPicPr>
                            <a:picLocks noChangeAspect="1" noChangeArrowheads="1"/>
                          </pic:cNvPicPr>
                        </pic:nvPicPr>
                        <pic:blipFill>
                          <a:blip r:embed="rId27"/>
                          <a:stretch>
                            <a:fillRect/>
                          </a:stretch>
                        </pic:blipFill>
                        <pic:spPr bwMode="auto">
                          <a:xfrm>
                            <a:off x="0" y="0"/>
                            <a:ext cx="2857500" cy="1628775"/>
                          </a:xfrm>
                          <a:prstGeom prst="rect">
                            <a:avLst/>
                          </a:prstGeom>
                          <a:noFill/>
                        </pic:spPr>
                      </pic:pic>
                    </a:graphicData>
                  </a:graphic>
                </wp:inline>
              </w:drawing>
            </w:r>
          </w:p>
          <w:p>
            <w:pPr>
              <w:pStyle w:val="Normal"/>
              <w:spacing w:before="60" w:after="60"/>
              <w:jc w:val="center"/>
              <w:rPr/>
            </w:pPr>
            <w:r>
              <w:rPr>
                <w:rFonts w:eastAsia="Calibri" w:cs="Calibri"/>
                <w:i/>
                <w:iCs/>
                <w:sz w:val="19"/>
                <w:szCs w:val="19"/>
              </w:rPr>
              <w:t>Figure 25 – RSLinx over USB: Ethernet port shown as 0.0.0.0 (BEFORE)</w:t>
            </w:r>
          </w:p>
        </w:tc>
      </w:tr>
      <w:tr>
        <w:trPr>
          <w:cantSplit/>
        </w:trPr>
        <w:tc>
          <w:tcPr>
            <w:tcW w:w="4680" w:type="dxa"/>
            <w:tcBorders/>
          </w:tcPr>
          <w:p>
            <w:pPr>
              <w:pStyle w:val="Normal"/>
              <w:spacing w:before="0" w:after="0"/>
              <w:jc w:val="center"/>
              <w:rPr/>
            </w:pPr>
            <w:r>
              <w:rPr/>
              <w:drawing>
                <wp:inline distT="0" distB="0" distL="0" distR="0">
                  <wp:extent cx="2667000" cy="3581400"/>
                  <wp:effectExtent l="0" t="0" r="0" b="0"/>
                  <wp:docPr id="27" name="image27" descr="image27" titl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image27" title="image27"/>
                          <pic:cNvPicPr>
                            <a:picLocks noChangeAspect="1" noChangeArrowheads="1"/>
                          </pic:cNvPicPr>
                        </pic:nvPicPr>
                        <pic:blipFill>
                          <a:blip r:embed="rId28"/>
                          <a:stretch>
                            <a:fillRect/>
                          </a:stretch>
                        </pic:blipFill>
                        <pic:spPr bwMode="auto">
                          <a:xfrm>
                            <a:off x="0" y="0"/>
                            <a:ext cx="2667000" cy="3581400"/>
                          </a:xfrm>
                          <a:prstGeom prst="rect">
                            <a:avLst/>
                          </a:prstGeom>
                          <a:noFill/>
                        </pic:spPr>
                      </pic:pic>
                    </a:graphicData>
                  </a:graphic>
                </wp:inline>
              </w:drawing>
            </w:r>
          </w:p>
          <w:p>
            <w:pPr>
              <w:pStyle w:val="Normal"/>
              <w:spacing w:before="60" w:after="60"/>
              <w:jc w:val="center"/>
              <w:rPr/>
            </w:pPr>
            <w:r>
              <w:rPr>
                <w:rFonts w:eastAsia="Calibri" w:cs="Calibri"/>
                <w:i/>
                <w:iCs/>
                <w:sz w:val="19"/>
                <w:szCs w:val="19"/>
              </w:rPr>
              <w:t>Figure 26 – USB Port Configuration (AFTER): static IP 10.116.254.212</w:t>
            </w:r>
          </w:p>
        </w:tc>
        <w:tc>
          <w:tcPr>
            <w:tcW w:w="4680" w:type="dxa"/>
            <w:tcBorders/>
          </w:tcPr>
          <w:p>
            <w:pPr>
              <w:pStyle w:val="Normal"/>
              <w:spacing w:before="0" w:after="0"/>
              <w:jc w:val="center"/>
              <w:rPr/>
            </w:pPr>
            <w:r>
              <w:rPr/>
              <w:drawing>
                <wp:inline distT="0" distB="0" distL="0" distR="0">
                  <wp:extent cx="2667000" cy="1190625"/>
                  <wp:effectExtent l="0" t="0" r="0" b="0"/>
                  <wp:docPr id="28" name="image28" descr="image28" titl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image28" title="image28"/>
                          <pic:cNvPicPr>
                            <a:picLocks noChangeAspect="1" noChangeArrowheads="1"/>
                          </pic:cNvPicPr>
                        </pic:nvPicPr>
                        <pic:blipFill>
                          <a:blip r:embed="rId29"/>
                          <a:stretch>
                            <a:fillRect/>
                          </a:stretch>
                        </pic:blipFill>
                        <pic:spPr bwMode="auto">
                          <a:xfrm>
                            <a:off x="0" y="0"/>
                            <a:ext cx="2667000" cy="1190625"/>
                          </a:xfrm>
                          <a:prstGeom prst="rect">
                            <a:avLst/>
                          </a:prstGeom>
                          <a:noFill/>
                        </pic:spPr>
                      </pic:pic>
                    </a:graphicData>
                  </a:graphic>
                </wp:inline>
              </w:drawing>
            </w:r>
          </w:p>
          <w:p>
            <w:pPr>
              <w:pStyle w:val="Normal"/>
              <w:spacing w:before="60" w:after="60"/>
              <w:jc w:val="center"/>
              <w:rPr/>
            </w:pPr>
            <w:r>
              <w:rPr>
                <w:rFonts w:eastAsia="Calibri" w:cs="Calibri"/>
                <w:i/>
                <w:iCs/>
                <w:sz w:val="19"/>
                <w:szCs w:val="19"/>
              </w:rPr>
              <w:t>Figure 27 – Ping to 10.116.254.212 (AFTER): direct replies from the PLC</w:t>
            </w:r>
          </w:p>
        </w:tc>
      </w:tr>
    </w:tbl>
    <w:p>
      <w:pPr>
        <w:pStyle w:val="Heading2"/>
        <w:keepNext w:val="true"/>
        <w:spacing w:before="220" w:after="100"/>
        <w:rPr/>
      </w:pPr>
      <w:r>
        <w:rPr>
          <w:rFonts w:eastAsia="Calibri" w:cs="Calibri" w:ascii="Calibri" w:hAnsi="Calibri"/>
          <w:b/>
          <w:bCs/>
          <w:color w:val="2F5496"/>
          <w:sz w:val="25"/>
          <w:szCs w:val="25"/>
        </w:rPr>
        <w:t>2.5 Siemens S7-1200 G2 (TIA Portal) – IP assigned 10.116.254.254</w:t>
      </w:r>
    </w:p>
    <w:p>
      <w:pPr>
        <w:pStyle w:val="Normal"/>
        <w:spacing w:lineRule="auto" w:line="276" w:before="0" w:after="120"/>
        <w:rPr/>
      </w:pPr>
      <w:r>
        <w:rPr>
          <w:rFonts w:eastAsia="Calibri" w:cs="Calibri"/>
          <w:sz w:val="22"/>
          <w:szCs w:val="22"/>
        </w:rPr>
        <w:t>The address was assigned from TIA Portal with the Assign IP address dialog: subnet mask 255.255.255.0 and the router option left unchecked. Before the assignment, .254 returned “destination host unreachable”; afterward, the PLC answered directly.</w:t>
      </w:r>
    </w:p>
    <w:p>
      <w:pPr>
        <w:pStyle w:val="Normal"/>
        <w:keepNext w:val="true"/>
        <w:spacing w:before="120" w:after="0"/>
        <w:jc w:val="center"/>
        <w:rPr/>
      </w:pPr>
      <w:r>
        <w:rPr/>
        <w:drawing>
          <wp:inline distT="0" distB="0" distL="0" distR="0">
            <wp:extent cx="3619500" cy="1114425"/>
            <wp:effectExtent l="0" t="0" r="0" b="0"/>
            <wp:docPr id="29" name="image29" descr="image29" titl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image29" title="image29"/>
                    <pic:cNvPicPr>
                      <a:picLocks noChangeAspect="1" noChangeArrowheads="1"/>
                    </pic:cNvPicPr>
                  </pic:nvPicPr>
                  <pic:blipFill>
                    <a:blip r:embed="rId30"/>
                    <a:stretch>
                      <a:fillRect/>
                    </a:stretch>
                  </pic:blipFill>
                  <pic:spPr bwMode="auto">
                    <a:xfrm>
                      <a:off x="0" y="0"/>
                      <a:ext cx="3619500" cy="1114425"/>
                    </a:xfrm>
                    <a:prstGeom prst="rect">
                      <a:avLst/>
                    </a:prstGeom>
                    <a:noFill/>
                  </pic:spPr>
                </pic:pic>
              </a:graphicData>
            </a:graphic>
          </wp:inline>
        </w:drawing>
      </w:r>
    </w:p>
    <w:p>
      <w:pPr>
        <w:pStyle w:val="Normal"/>
        <w:spacing w:before="60" w:after="180"/>
        <w:jc w:val="center"/>
        <w:rPr/>
      </w:pPr>
      <w:r>
        <w:rPr>
          <w:rFonts w:eastAsia="Calibri" w:cs="Calibri"/>
          <w:i/>
          <w:iCs/>
          <w:sz w:val="19"/>
          <w:szCs w:val="19"/>
        </w:rPr>
        <w:t>Figure 28 – Ping to 10.116.254.254 (BEFORE): unreachable</w:t>
      </w:r>
    </w:p>
    <w:p>
      <w:pPr>
        <w:pStyle w:val="Normal"/>
        <w:keepNext w:val="true"/>
        <w:spacing w:before="120" w:after="0"/>
        <w:jc w:val="center"/>
        <w:rPr/>
      </w:pPr>
      <w:r>
        <w:rPr/>
        <w:drawing>
          <wp:inline distT="0" distB="0" distL="0" distR="0">
            <wp:extent cx="4286250" cy="2057400"/>
            <wp:effectExtent l="0" t="0" r="0" b="0"/>
            <wp:docPr id="30" name="image30" descr="image30" titl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image30" title="image30"/>
                    <pic:cNvPicPr>
                      <a:picLocks noChangeAspect="1" noChangeArrowheads="1"/>
                    </pic:cNvPicPr>
                  </pic:nvPicPr>
                  <pic:blipFill>
                    <a:blip r:embed="rId31"/>
                    <a:stretch>
                      <a:fillRect/>
                    </a:stretch>
                  </pic:blipFill>
                  <pic:spPr bwMode="auto">
                    <a:xfrm>
                      <a:off x="0" y="0"/>
                      <a:ext cx="4286250" cy="2057400"/>
                    </a:xfrm>
                    <a:prstGeom prst="rect">
                      <a:avLst/>
                    </a:prstGeom>
                    <a:noFill/>
                  </pic:spPr>
                </pic:pic>
              </a:graphicData>
            </a:graphic>
          </wp:inline>
        </w:drawing>
      </w:r>
    </w:p>
    <w:p>
      <w:pPr>
        <w:pStyle w:val="Normal"/>
        <w:spacing w:before="60" w:after="180"/>
        <w:jc w:val="center"/>
        <w:rPr/>
      </w:pPr>
      <w:r>
        <w:rPr>
          <w:rFonts w:eastAsia="Calibri" w:cs="Calibri"/>
          <w:i/>
          <w:iCs/>
          <w:sz w:val="19"/>
          <w:szCs w:val="19"/>
        </w:rPr>
        <w:t>Figure 29 – TIA Portal Assign IP address dialog (subnet mask 255.255.255.0, use router unchecked)</w:t>
      </w:r>
    </w:p>
    <w:p>
      <w:pPr>
        <w:pStyle w:val="Normal"/>
        <w:keepNext w:val="true"/>
        <w:spacing w:before="120" w:after="0"/>
        <w:jc w:val="center"/>
        <w:rPr/>
      </w:pPr>
      <w:r>
        <w:rPr/>
        <w:drawing>
          <wp:inline distT="0" distB="0" distL="0" distR="0">
            <wp:extent cx="3619500" cy="1657350"/>
            <wp:effectExtent l="0" t="0" r="0" b="0"/>
            <wp:docPr id="31" name="image31" descr="image31" titl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image31" title="image31"/>
                    <pic:cNvPicPr>
                      <a:picLocks noChangeAspect="1" noChangeArrowheads="1"/>
                    </pic:cNvPicPr>
                  </pic:nvPicPr>
                  <pic:blipFill>
                    <a:blip r:embed="rId32"/>
                    <a:stretch>
                      <a:fillRect/>
                    </a:stretch>
                  </pic:blipFill>
                  <pic:spPr bwMode="auto">
                    <a:xfrm>
                      <a:off x="0" y="0"/>
                      <a:ext cx="3619500" cy="1657350"/>
                    </a:xfrm>
                    <a:prstGeom prst="rect">
                      <a:avLst/>
                    </a:prstGeom>
                    <a:noFill/>
                  </pic:spPr>
                </pic:pic>
              </a:graphicData>
            </a:graphic>
          </wp:inline>
        </w:drawing>
      </w:r>
    </w:p>
    <w:p>
      <w:pPr>
        <w:pStyle w:val="Normal"/>
        <w:spacing w:before="60" w:after="180"/>
        <w:jc w:val="center"/>
        <w:rPr/>
      </w:pPr>
      <w:r>
        <w:rPr>
          <w:rFonts w:eastAsia="Calibri" w:cs="Calibri"/>
          <w:i/>
          <w:iCs/>
          <w:sz w:val="19"/>
          <w:szCs w:val="19"/>
        </w:rPr>
        <w:t>Figure 30 – Ping to 10.116.254.254 (AFTER): direct replies from the PLC</w:t>
      </w:r>
    </w:p>
    <w:p>
      <w:pPr>
        <w:pStyle w:val="Heading1"/>
        <w:spacing w:before="300" w:after="140"/>
        <w:rPr/>
      </w:pPr>
      <w:r>
        <w:rPr>
          <w:rFonts w:eastAsia="Calibri" w:cs="Calibri" w:ascii="Calibri" w:hAnsi="Calibri"/>
          <w:b/>
          <w:bCs/>
          <w:color w:val="1F3864"/>
          <w:sz w:val="30"/>
          <w:szCs w:val="30"/>
        </w:rPr>
        <w:t>3. Results and Reflection</w:t>
      </w:r>
    </w:p>
    <w:p>
      <w:pPr>
        <w:pStyle w:val="Heading2"/>
        <w:keepNext w:val="true"/>
        <w:spacing w:before="220" w:after="100"/>
        <w:rPr/>
      </w:pPr>
      <w:r>
        <w:rPr>
          <w:rFonts w:eastAsia="Calibri" w:cs="Calibri" w:ascii="Calibri" w:hAnsi="Calibri"/>
          <w:b/>
          <w:bCs/>
          <w:color w:val="2F5496"/>
          <w:sz w:val="25"/>
          <w:szCs w:val="25"/>
        </w:rPr>
        <w:t>3.1 Link to theory</w:t>
      </w:r>
    </w:p>
    <w:p>
      <w:pPr>
        <w:pStyle w:val="Normal"/>
        <w:spacing w:lineRule="auto" w:line="276" w:before="0" w:after="120"/>
        <w:rPr/>
      </w:pPr>
      <w:r>
        <w:rPr>
          <w:rFonts w:eastAsia="Calibri" w:cs="Calibri"/>
          <w:sz w:val="22"/>
          <w:szCs w:val="22"/>
        </w:rPr>
        <w:t>All devices were on one IPv4 network, 10.116.254.0/24. Two hosts can talk directly only when they share the same network portion of the address, which the mask 255.255.255.0 defines; anything else must go through the gateway 10.116.254.1. This explains the “Destination host unreachable” replies seen before each change: with nobody holding that address, the request was answered by a network device (10.116.254.6 or .26) rather than by the target. Ping uses ICMP echo, so a reply from the correct address with TTL 64 shows the PLC’s network stack is answering, while a reply with TTL 128 (Figure 23, last ping) came from the Windows workstation itself.</w:t>
      </w:r>
    </w:p>
    <w:p>
      <w:pPr>
        <w:pStyle w:val="Normal"/>
        <w:spacing w:lineRule="auto" w:line="276" w:before="0" w:after="120"/>
        <w:rPr/>
      </w:pPr>
      <w:r>
        <w:rPr>
          <w:rFonts w:eastAsia="Calibri" w:cs="Calibri"/>
          <w:sz w:val="22"/>
          <w:szCs w:val="22"/>
        </w:rPr>
        <w:t>BOOTP (and DHCP, which extends it) assigns an address to a device based on its MAC address. A ControlLogix controller straight from the factory has BOOTP enabled, so it asks the network for an address; once a static address is set, BOOTP/DHCP should be disabled so that the PLC keeps it. Every address on an industrial network must be unique, because a duplicate address would disrupt communication with a running controller.</w:t>
      </w:r>
    </w:p>
    <w:p>
      <w:pPr>
        <w:pStyle w:val="Heading2"/>
        <w:keepNext w:val="true"/>
        <w:spacing w:before="220" w:after="100"/>
        <w:rPr/>
      </w:pPr>
      <w:r>
        <w:rPr>
          <w:rFonts w:eastAsia="Calibri" w:cs="Calibri" w:ascii="Calibri" w:hAnsi="Calibri"/>
          <w:b/>
          <w:bCs/>
          <w:color w:val="2F5496"/>
          <w:sz w:val="25"/>
          <w:szCs w:val="25"/>
        </w:rPr>
        <w:t>3.2 Comparison of methods</w:t>
      </w:r>
    </w:p>
    <w:tbl>
      <w:tblPr>
        <w:tblW w:w="9360" w:type="dxa"/>
        <w:jc w:val="start"/>
        <w:tblInd w:w="0" w:type="dxa"/>
        <w:tblLayout w:type="fixed"/>
        <w:tblCellMar>
          <w:top w:w="70" w:type="dxa"/>
          <w:start w:w="100" w:type="dxa"/>
          <w:bottom w:w="70" w:type="dxa"/>
          <w:end w:w="100" w:type="dxa"/>
        </w:tblCellMar>
      </w:tblPr>
      <w:tblGrid>
        <w:gridCol w:w="1500"/>
        <w:gridCol w:w="3926"/>
        <w:gridCol w:w="3934"/>
      </w:tblGrid>
      <w:tr>
        <w:trPr>
          <w:tblHeader w:val="true"/>
        </w:trPr>
        <w:tc>
          <w:tcPr>
            <w:tcW w:w="1500" w:type="dxa"/>
            <w:tcBorders>
              <w:top w:val="single" w:sz="4" w:space="0" w:color="8EA9DB"/>
              <w:start w:val="single" w:sz="4" w:space="0" w:color="8EA9DB"/>
              <w:bottom w:val="single" w:sz="4" w:space="0" w:color="8EA9DB"/>
              <w:end w:val="single" w:sz="4" w:space="0" w:color="8EA9DB"/>
            </w:tcBorders>
            <w:shd w:color="auto" w:fill="1F3864" w:val="clear"/>
            <w:vAlign w:val="center"/>
          </w:tcPr>
          <w:p>
            <w:pPr>
              <w:pStyle w:val="Normal"/>
              <w:spacing w:before="0" w:after="0"/>
              <w:rPr/>
            </w:pPr>
            <w:r>
              <w:rPr>
                <w:rFonts w:eastAsia="Calibri" w:cs="Calibri"/>
                <w:b/>
                <w:bCs/>
                <w:color w:val="FFFFFF"/>
                <w:sz w:val="19"/>
                <w:szCs w:val="19"/>
              </w:rPr>
              <w:t>Method</w:t>
            </w:r>
          </w:p>
        </w:tc>
        <w:tc>
          <w:tcPr>
            <w:tcW w:w="3926" w:type="dxa"/>
            <w:tcBorders>
              <w:top w:val="single" w:sz="4" w:space="0" w:color="8EA9DB"/>
              <w:start w:val="single" w:sz="4" w:space="0" w:color="8EA9DB"/>
              <w:bottom w:val="single" w:sz="4" w:space="0" w:color="8EA9DB"/>
              <w:end w:val="single" w:sz="4" w:space="0" w:color="8EA9DB"/>
            </w:tcBorders>
            <w:shd w:color="auto" w:fill="1F3864" w:val="clear"/>
            <w:vAlign w:val="center"/>
          </w:tcPr>
          <w:p>
            <w:pPr>
              <w:pStyle w:val="Normal"/>
              <w:spacing w:before="0" w:after="0"/>
              <w:rPr/>
            </w:pPr>
            <w:r>
              <w:rPr>
                <w:rFonts w:eastAsia="Calibri" w:cs="Calibri"/>
                <w:b/>
                <w:bCs/>
                <w:color w:val="FFFFFF"/>
                <w:sz w:val="19"/>
                <w:szCs w:val="19"/>
              </w:rPr>
              <w:t>Advantages</w:t>
            </w:r>
          </w:p>
        </w:tc>
        <w:tc>
          <w:tcPr>
            <w:tcW w:w="3934" w:type="dxa"/>
            <w:tcBorders>
              <w:top w:val="single" w:sz="4" w:space="0" w:color="8EA9DB"/>
              <w:start w:val="single" w:sz="4" w:space="0" w:color="8EA9DB"/>
              <w:bottom w:val="single" w:sz="4" w:space="0" w:color="8EA9DB"/>
              <w:end w:val="single" w:sz="4" w:space="0" w:color="8EA9DB"/>
            </w:tcBorders>
            <w:shd w:color="auto" w:fill="1F3864" w:val="clear"/>
            <w:vAlign w:val="center"/>
          </w:tcPr>
          <w:p>
            <w:pPr>
              <w:pStyle w:val="Normal"/>
              <w:spacing w:before="0" w:after="0"/>
              <w:rPr/>
            </w:pPr>
            <w:r>
              <w:rPr>
                <w:rFonts w:eastAsia="Calibri" w:cs="Calibri"/>
                <w:b/>
                <w:bCs/>
                <w:color w:val="FFFFFF"/>
                <w:sz w:val="19"/>
                <w:szCs w:val="19"/>
              </w:rPr>
              <w:t>Limitations</w:t>
            </w:r>
          </w:p>
        </w:tc>
      </w:tr>
      <w:tr>
        <w:trPr>
          <w:cantSplit/>
        </w:trPr>
        <w:tc>
          <w:tcPr>
            <w:tcW w:w="150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USB (serial-type)</w:t>
            </w:r>
          </w:p>
        </w:tc>
        <w:tc>
          <w:tcPr>
            <w:tcW w:w="3926"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Works on a controller with no IP; no network setup needed; useful for recovery.</w:t>
            </w:r>
          </w:p>
        </w:tc>
        <w:tc>
          <w:tcPr>
            <w:tcW w:w="3934"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Needs a physical cable at the controller; slower to set up.</w:t>
            </w:r>
          </w:p>
        </w:tc>
      </w:tr>
      <w:tr>
        <w:trPr>
          <w:cantSplit/>
        </w:trPr>
        <w:tc>
          <w:tcPr>
            <w:tcW w:w="1500"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BOOTP/DHCP</w:t>
            </w:r>
          </w:p>
        </w:tc>
        <w:tc>
          <w:tcPr>
            <w:tcW w:w="3926"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Can commission many new devices from a central tool; works on factory-default controllers.</w:t>
            </w:r>
          </w:p>
        </w:tc>
        <w:tc>
          <w:tcPr>
            <w:tcW w:w="3934"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Needs a broadcast path (firewall must allow it); works only for controllers with BOOTP enabled; BOOTP/DHCP must be disabled afterwards to keep the address.</w:t>
            </w:r>
          </w:p>
        </w:tc>
      </w:tr>
      <w:tr>
        <w:trPr>
          <w:cantSplit/>
        </w:trPr>
        <w:tc>
          <w:tcPr>
            <w:tcW w:w="150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RSLinx</w:t>
            </w:r>
          </w:p>
        </w:tc>
        <w:tc>
          <w:tcPr>
            <w:tcW w:w="3926"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Quick, done from the workstation once the PLC is visible in RSWho.</w:t>
            </w:r>
          </w:p>
        </w:tc>
        <w:tc>
          <w:tcPr>
            <w:tcW w:w="3934"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PLC must already be reachable; needs the correct driver configured.</w:t>
            </w:r>
          </w:p>
        </w:tc>
      </w:tr>
      <w:tr>
        <w:trPr>
          <w:cantSplit/>
        </w:trPr>
        <w:tc>
          <w:tcPr>
            <w:tcW w:w="1500"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Studio 5000</w:t>
            </w:r>
          </w:p>
        </w:tc>
        <w:tc>
          <w:tcPr>
            <w:tcW w:w="3926"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Changes the address from within the project and controller properties.</w:t>
            </w:r>
          </w:p>
        </w:tc>
        <w:tc>
          <w:tcPr>
            <w:tcW w:w="3934"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Requires the project/online path; the connection is lost when the IP changes and the path must be updated.</w:t>
            </w:r>
          </w:p>
        </w:tc>
      </w:tr>
      <w:tr>
        <w:trPr>
          <w:cantSplit/>
        </w:trPr>
        <w:tc>
          <w:tcPr>
            <w:tcW w:w="150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TIA Portal (Siemens)</w:t>
            </w:r>
          </w:p>
        </w:tc>
        <w:tc>
          <w:tcPr>
            <w:tcW w:w="3926"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Direct address assignment for S7-1200 G2 with the mask and router options in one dialog.</w:t>
            </w:r>
          </w:p>
        </w:tc>
        <w:tc>
          <w:tcPr>
            <w:tcW w:w="3934"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Requires Siemens software and a compatible network adapter selection.</w:t>
            </w:r>
          </w:p>
        </w:tc>
      </w:tr>
    </w:tbl>
    <w:p>
      <w:pPr>
        <w:pStyle w:val="Heading2"/>
        <w:keepNext w:val="true"/>
        <w:spacing w:before="220" w:after="100"/>
        <w:rPr/>
      </w:pPr>
      <w:r>
        <w:rPr>
          <w:rFonts w:eastAsia="Calibri" w:cs="Calibri" w:ascii="Calibri" w:hAnsi="Calibri"/>
          <w:b/>
          <w:bCs/>
          <w:color w:val="2F5496"/>
          <w:sz w:val="25"/>
          <w:szCs w:val="25"/>
        </w:rPr>
        <w:t>3.3 Errors and limitations</w:t>
      </w:r>
    </w:p>
    <w:p>
      <w:pPr>
        <w:pStyle w:val="ListParagraph"/>
        <w:numPr>
          <w:ilvl w:val="0"/>
          <w:numId w:val="2"/>
        </w:numPr>
        <w:spacing w:lineRule="auto" w:line="276" w:before="0" w:after="60"/>
        <w:rPr/>
      </w:pPr>
      <w:r>
        <w:rPr>
          <w:rFonts w:eastAsia="Calibri" w:cs="Calibri"/>
          <w:b/>
          <w:bCs/>
          <w:sz w:val="22"/>
          <w:szCs w:val="22"/>
        </w:rPr>
        <w:t xml:space="preserve">Ping statistics can be misleading. </w:t>
      </w:r>
      <w:r>
        <w:rPr>
          <w:rFonts w:eastAsia="Calibri" w:cs="Calibri"/>
          <w:sz w:val="22"/>
          <w:szCs w:val="22"/>
        </w:rPr>
        <w:t>Windows counted the “Destination host unreachable” replies as received packets (“0% loss”), so a ping summary alone does not show that the PLC answered. The reply’s source address must be checked.</w:t>
      </w:r>
    </w:p>
    <w:p>
      <w:pPr>
        <w:pStyle w:val="ListParagraph"/>
        <w:numPr>
          <w:ilvl w:val="0"/>
          <w:numId w:val="2"/>
        </w:numPr>
        <w:spacing w:lineRule="auto" w:line="276" w:before="0" w:after="60"/>
        <w:rPr/>
      </w:pPr>
      <w:r>
        <w:rPr>
          <w:rFonts w:eastAsia="Calibri" w:cs="Calibri"/>
          <w:b/>
          <w:bCs/>
          <w:sz w:val="22"/>
          <w:szCs w:val="22"/>
        </w:rPr>
        <w:t xml:space="preserve">BOOTP result not fully confirmed. </w:t>
      </w:r>
      <w:r>
        <w:rPr>
          <w:rFonts w:eastAsia="Calibri" w:cs="Calibri"/>
          <w:sz w:val="22"/>
          <w:szCs w:val="22"/>
        </w:rPr>
        <w:t>The relation for 10.116.254.7 was accepted and appears in the ARP table, but three of the four pings to .7 timed out (Figure 23). The address was therefore assigned in the tool, but a complete ping/RSWho confirmation was not captured. Possible causes include the controller not yet having applied the address, a firewall setting or the workstation address being on a different path.</w:t>
      </w:r>
    </w:p>
    <w:p>
      <w:pPr>
        <w:pStyle w:val="ListParagraph"/>
        <w:numPr>
          <w:ilvl w:val="0"/>
          <w:numId w:val="2"/>
        </w:numPr>
        <w:spacing w:lineRule="auto" w:line="276" w:before="0" w:after="60"/>
        <w:rPr/>
      </w:pPr>
      <w:r>
        <w:rPr>
          <w:rFonts w:eastAsia="Calibri" w:cs="Calibri"/>
          <w:b/>
          <w:bCs/>
          <w:sz w:val="22"/>
          <w:szCs w:val="22"/>
        </w:rPr>
        <w:t xml:space="preserve">Unrecognised modules. </w:t>
      </w:r>
      <w:r>
        <w:rPr>
          <w:rFonts w:eastAsia="Calibri" w:cs="Calibri"/>
          <w:sz w:val="22"/>
          <w:szCs w:val="22"/>
        </w:rPr>
        <w:t>RSWho shows two modules (1756-IF8/B and 1756-OF8/B) as unrecognised devices, most likely because their EDS files were not installed. This did not affect the IP change.</w:t>
      </w:r>
    </w:p>
    <w:p>
      <w:pPr>
        <w:pStyle w:val="ListParagraph"/>
        <w:numPr>
          <w:ilvl w:val="0"/>
          <w:numId w:val="2"/>
        </w:numPr>
        <w:spacing w:lineRule="auto" w:line="276" w:before="0" w:after="60"/>
        <w:rPr/>
      </w:pPr>
      <w:r>
        <w:rPr>
          <w:rFonts w:eastAsia="Calibri" w:cs="Calibri"/>
          <w:b/>
          <w:bCs/>
          <w:sz w:val="22"/>
          <w:szCs w:val="22"/>
        </w:rPr>
        <w:t xml:space="preserve">Reachability is not communication. </w:t>
      </w:r>
      <w:r>
        <w:rPr>
          <w:rFonts w:eastAsia="Calibri" w:cs="Calibri"/>
          <w:sz w:val="22"/>
          <w:szCs w:val="22"/>
        </w:rPr>
        <w:t>Ping proves only network-layer reachability, not that the PLC is running or accepting connections; the Who Active / RSWho browse gave the extra confirmation.</w:t>
      </w:r>
    </w:p>
    <w:p>
      <w:pPr>
        <w:pStyle w:val="Heading2"/>
        <w:keepNext w:val="true"/>
        <w:spacing w:before="220" w:after="100"/>
        <w:rPr/>
      </w:pPr>
      <w:r>
        <w:rPr>
          <w:rFonts w:eastAsia="Calibri" w:cs="Calibri" w:ascii="Calibri" w:hAnsi="Calibri"/>
          <w:b/>
          <w:bCs/>
          <w:color w:val="2F5496"/>
          <w:sz w:val="25"/>
          <w:szCs w:val="25"/>
        </w:rPr>
        <w:t>3.4 Possible improvements</w:t>
      </w:r>
    </w:p>
    <w:p>
      <w:pPr>
        <w:pStyle w:val="ListParagraph"/>
        <w:numPr>
          <w:ilvl w:val="0"/>
          <w:numId w:val="2"/>
        </w:numPr>
        <w:spacing w:lineRule="auto" w:line="276" w:before="0" w:after="60"/>
        <w:rPr/>
      </w:pPr>
      <w:r>
        <w:rPr>
          <w:rFonts w:eastAsia="Calibri" w:cs="Calibri"/>
          <w:sz w:val="22"/>
          <w:szCs w:val="22"/>
        </w:rPr>
        <w:t>Record each device’s MAC address and planned IP in a table before starting, so the “before” and “after” values and the BOOTP relation can be checked against it.</w:t>
      </w:r>
    </w:p>
    <w:p>
      <w:pPr>
        <w:pStyle w:val="ListParagraph"/>
        <w:numPr>
          <w:ilvl w:val="0"/>
          <w:numId w:val="2"/>
        </w:numPr>
        <w:spacing w:lineRule="auto" w:line="276" w:before="0" w:after="60"/>
        <w:rPr/>
      </w:pPr>
      <w:r>
        <w:rPr>
          <w:rFonts w:eastAsia="Calibri" w:cs="Calibri"/>
          <w:sz w:val="22"/>
          <w:szCs w:val="22"/>
        </w:rPr>
        <w:t>Verify the address in two ways after every change (ping with the correct reply source, plus a Who Active / RSWho browse) and capture both.</w:t>
      </w:r>
    </w:p>
    <w:p>
      <w:pPr>
        <w:pStyle w:val="ListParagraph"/>
        <w:numPr>
          <w:ilvl w:val="0"/>
          <w:numId w:val="2"/>
        </w:numPr>
        <w:spacing w:lineRule="auto" w:line="276" w:before="0" w:after="60"/>
        <w:rPr/>
      </w:pPr>
      <w:r>
        <w:rPr>
          <w:rFonts w:eastAsia="Calibri" w:cs="Calibri"/>
          <w:sz w:val="22"/>
          <w:szCs w:val="22"/>
        </w:rPr>
        <w:t>After BOOTP assignment, use the Disable BOOTP/DHCP command (or set a static address) so that the controller does not lose its address on a power cycle.</w:t>
      </w:r>
    </w:p>
    <w:p>
      <w:pPr>
        <w:pStyle w:val="ListParagraph"/>
        <w:numPr>
          <w:ilvl w:val="0"/>
          <w:numId w:val="2"/>
        </w:numPr>
        <w:spacing w:lineRule="auto" w:line="276" w:before="0" w:after="60"/>
        <w:rPr/>
      </w:pPr>
      <w:r>
        <w:rPr>
          <w:rFonts w:eastAsia="Calibri" w:cs="Calibri"/>
          <w:sz w:val="22"/>
          <w:szCs w:val="22"/>
        </w:rPr>
        <w:t>Reserve a documented address range for controllers and check that each new address is unused with a ping before assigning it, as was done in this lab, to avoid duplicate addresses.</w:t>
      </w:r>
    </w:p>
    <w:p>
      <w:pPr>
        <w:pStyle w:val="Heading1"/>
        <w:spacing w:before="300" w:after="140"/>
        <w:rPr/>
      </w:pPr>
      <w:r>
        <w:rPr>
          <w:rFonts w:eastAsia="Calibri" w:cs="Calibri" w:ascii="Calibri" w:hAnsi="Calibri"/>
          <w:b/>
          <w:bCs/>
          <w:color w:val="1F3864"/>
          <w:sz w:val="30"/>
          <w:szCs w:val="30"/>
        </w:rPr>
        <w:t>Appendix – Application Photos</w:t>
      </w:r>
    </w:p>
    <w:p>
      <w:pPr>
        <w:pStyle w:val="Normal"/>
        <w:keepNext w:val="true"/>
        <w:spacing w:before="120" w:after="0"/>
        <w:jc w:val="center"/>
        <w:rPr/>
      </w:pPr>
      <w:r>
        <w:rPr/>
        <w:drawing>
          <wp:inline distT="0" distB="0" distL="0" distR="0">
            <wp:extent cx="2857500" cy="2143125"/>
            <wp:effectExtent l="0" t="0" r="0" b="0"/>
            <wp:docPr id="32" name="image1.jpeg" descr="ControlLogix chassis with 1756-L81E controller and I/O modules" titl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jpeg" descr="ControlLogix chassis with 1756-L81E controller and I/O modules" title="image1.jpeg"/>
                    <pic:cNvPicPr>
                      <a:picLocks noChangeAspect="1" noChangeArrowheads="1"/>
                    </pic:cNvPicPr>
                  </pic:nvPicPr>
                  <pic:blipFill>
                    <a:blip r:embed="rId33"/>
                    <a:stretch>
                      <a:fillRect/>
                    </a:stretch>
                  </pic:blipFill>
                  <pic:spPr bwMode="auto">
                    <a:xfrm>
                      <a:off x="0" y="0"/>
                      <a:ext cx="2857500" cy="2143125"/>
                    </a:xfrm>
                    <a:prstGeom prst="rect">
                      <a:avLst/>
                    </a:prstGeom>
                    <a:noFill/>
                  </pic:spPr>
                </pic:pic>
              </a:graphicData>
            </a:graphic>
          </wp:inline>
        </w:drawing>
      </w:r>
    </w:p>
    <w:p>
      <w:pPr>
        <w:pStyle w:val="Normal"/>
        <w:spacing w:before="60" w:after="180"/>
        <w:jc w:val="center"/>
        <w:rPr/>
      </w:pPr>
      <w:r>
        <w:rPr>
          <w:rFonts w:eastAsia="Calibri" w:cs="Calibri"/>
          <w:i/>
          <w:iCs/>
          <w:sz w:val="19"/>
          <w:szCs w:val="19"/>
        </w:rPr>
        <w:t>Figure 31 – ControlLogix chassis with 1756-L81E controller and I/O modules</w:t>
      </w:r>
    </w:p>
    <w:p>
      <w:pPr>
        <w:pStyle w:val="Normal"/>
        <w:keepNext w:val="true"/>
        <w:spacing w:before="120" w:after="0"/>
        <w:jc w:val="center"/>
        <w:rPr/>
      </w:pPr>
      <w:r>
        <w:rPr/>
        <w:drawing>
          <wp:inline distT="0" distB="0" distL="0" distR="0">
            <wp:extent cx="2857500" cy="2143125"/>
            <wp:effectExtent l="0" t="0" r="0" b="0"/>
            <wp:docPr id="33" name="image2.jpeg" descr="Siemens SIMATIC S7-1200 G2 with Ethernet switch" titl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jpeg" descr="Siemens SIMATIC S7-1200 G2 with Ethernet switch" title="image2.jpeg"/>
                    <pic:cNvPicPr>
                      <a:picLocks noChangeAspect="1" noChangeArrowheads="1"/>
                    </pic:cNvPicPr>
                  </pic:nvPicPr>
                  <pic:blipFill>
                    <a:blip r:embed="rId34"/>
                    <a:stretch>
                      <a:fillRect/>
                    </a:stretch>
                  </pic:blipFill>
                  <pic:spPr bwMode="auto">
                    <a:xfrm>
                      <a:off x="0" y="0"/>
                      <a:ext cx="2857500" cy="2143125"/>
                    </a:xfrm>
                    <a:prstGeom prst="rect">
                      <a:avLst/>
                    </a:prstGeom>
                    <a:noFill/>
                  </pic:spPr>
                </pic:pic>
              </a:graphicData>
            </a:graphic>
          </wp:inline>
        </w:drawing>
      </w:r>
    </w:p>
    <w:p>
      <w:pPr>
        <w:pStyle w:val="Normal"/>
        <w:spacing w:before="60" w:after="180"/>
        <w:jc w:val="center"/>
        <w:rPr/>
      </w:pPr>
      <w:r>
        <w:rPr>
          <w:rFonts w:eastAsia="Calibri" w:cs="Calibri"/>
          <w:i/>
          <w:iCs/>
          <w:sz w:val="19"/>
          <w:szCs w:val="19"/>
        </w:rPr>
        <w:t>Figure 32 – Siemens SIMATIC S7-1200 G2 with Ethernet switch</w:t>
      </w:r>
    </w:p>
    <w:sectPr>
      <w:headerReference w:type="even" r:id="rId35"/>
      <w:headerReference w:type="default" r:id="rId36"/>
      <w:headerReference w:type="first" r:id="rId37"/>
      <w:footerReference w:type="even" r:id="rId38"/>
      <w:footerReference w:type="default" r:id="rId39"/>
      <w:footerReference w:type="first" r:id="rId40"/>
      <w:type w:val="nextPage"/>
      <w:pgSz w:w="12240" w:h="15840"/>
      <w:pgMar w:left="1440" w:right="1440" w:gutter="0" w:header="708" w:top="1300" w:footer="708" w:bottom="12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1"/>
    <w:family w:val="swiss"/>
    <w:pitch w:val="default"/>
  </w:font>
  <w:font w:name="Liberation Sans">
    <w:altName w:val="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7F7F7F"/>
        <w:sz w:val="18"/>
        <w:szCs w:val="18"/>
      </w:rPr>
      <w:t xml:space="preserve">Page </w:t>
    </w:r>
    <w:r>
      <w:rPr>
        <w:rFonts w:eastAsia="Calibri" w:cs="Calibri"/>
        <w:i/>
        <w:iCs/>
        <w:sz w:val="19"/>
        <w:szCs w:val="19"/>
      </w:rPr>
      <w:fldChar w:fldCharType="begin"/>
    </w:r>
    <w:r>
      <w:rPr>
        <w:rFonts w:eastAsia="Calibri" w:cs="Calibri"/>
        <w:i/>
        <w:iCs/>
        <w:sz w:val="19"/>
        <w:szCs w:val="19"/>
      </w:rPr>
      <w:instrText xml:space="preserve"> PAGE </w:instrText>
    </w:r>
    <w:r>
      <w:rPr>
        <w:rFonts w:eastAsia="Calibri" w:cs="Calibri"/>
        <w:i/>
        <w:iCs/>
        <w:sz w:val="19"/>
        <w:szCs w:val="19"/>
      </w:rPr>
      <w:fldChar w:fldCharType="separate"/>
    </w:r>
    <w:r>
      <w:rPr>
        <w:rFonts w:eastAsia="Calibri" w:cs="Calibri"/>
        <w:i/>
        <w:iCs/>
        <w:sz w:val="19"/>
        <w:szCs w:val="19"/>
      </w:rPr>
      <w:t>12</w:t>
    </w:r>
    <w:r>
      <w:rPr>
        <w:rFonts w:eastAsia="Calibri" w:cs="Calibri"/>
        <w:i/>
        <w:iCs/>
        <w:sz w:val="19"/>
        <w:szCs w:val="19"/>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7F7F7F"/>
        <w:sz w:val="18"/>
        <w:szCs w:val="18"/>
      </w:rPr>
      <w:t xml:space="preserve">Page </w:t>
    </w:r>
    <w:r>
      <w:rPr>
        <w:rFonts w:eastAsia="Calibri" w:cs="Calibri"/>
        <w:i/>
        <w:iCs/>
        <w:sz w:val="19"/>
        <w:szCs w:val="19"/>
      </w:rPr>
      <w:fldChar w:fldCharType="begin"/>
    </w:r>
    <w:r>
      <w:rPr>
        <w:rFonts w:eastAsia="Calibri" w:cs="Calibri"/>
        <w:i/>
        <w:iCs/>
        <w:sz w:val="19"/>
        <w:szCs w:val="19"/>
      </w:rPr>
      <w:instrText xml:space="preserve"> PAGE </w:instrText>
    </w:r>
    <w:r>
      <w:rPr>
        <w:rFonts w:eastAsia="Calibri" w:cs="Calibri"/>
        <w:i/>
        <w:iCs/>
        <w:sz w:val="19"/>
        <w:szCs w:val="19"/>
      </w:rPr>
      <w:fldChar w:fldCharType="separate"/>
    </w:r>
    <w:r>
      <w:rPr>
        <w:rFonts w:eastAsia="Calibri" w:cs="Calibri"/>
        <w:i/>
        <w:iCs/>
        <w:sz w:val="19"/>
        <w:szCs w:val="19"/>
      </w:rPr>
      <w:t>12</w:t>
    </w:r>
    <w:r>
      <w:rPr>
        <w:rFonts w:eastAsia="Calibri" w:cs="Calibri"/>
        <w:i/>
        <w:iCs/>
        <w:sz w:val="19"/>
        <w:szCs w:val="19"/>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color w:val="7F7F7F"/>
        <w:sz w:val="18"/>
        <w:szCs w:val="18"/>
      </w:rPr>
      <w:t>MENG 4010 – Lab 01 | Michael McCorkell (N01500049)</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color w:val="7F7F7F"/>
        <w:sz w:val="18"/>
        <w:szCs w:val="18"/>
      </w:rPr>
      <w:t>MENG 4010 – Lab 01 | Michael McCorkell (N01500049)</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CA"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libri" w:cs="Calibri"/>
      <w:color w:val="auto"/>
      <w:kern w:val="0"/>
      <w:sz w:val="22"/>
      <w:szCs w:val="22"/>
      <w:lang w:val="en-CA"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i" w:hAnsi="Calibri" w:cs="Lucida Sans"/>
      <w:sz w:val="22"/>
    </w:rPr>
  </w:style>
  <w:style w:type="paragraph" w:styleId="Caption">
    <w:name w:val="caption"/>
    <w:basedOn w:val="Normal"/>
    <w:qFormat/>
    <w:pPr>
      <w:suppressLineNumbers/>
      <w:spacing w:before="120" w:after="120"/>
    </w:pPr>
    <w:rPr>
      <w:rFonts w:ascii="Calibri" w:hAnsi="Calibri" w:cs="Lucida Sans"/>
      <w:i/>
      <w:iCs/>
      <w:sz w:val="22"/>
      <w:szCs w:val="24"/>
    </w:rPr>
  </w:style>
  <w:style w:type="paragraph" w:styleId="Index">
    <w:name w:val="Index"/>
    <w:basedOn w:val="Normal"/>
    <w:qFormat/>
    <w:pPr>
      <w:suppressLineNumbers/>
    </w:pPr>
    <w:rPr>
      <w:rFonts w:ascii="Calibri" w:hAnsi="Calibri" w:cs="Lucida Sans"/>
      <w:sz w:val="22"/>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Calibri" w:hAnsi="Calibri" w:eastAsia="Calibri" w:cs="Calibri"/>
      <w:b/>
      <w:bCs/>
      <w:color w:val="auto"/>
      <w:kern w:val="0"/>
      <w:sz w:val="22"/>
      <w:szCs w:val="22"/>
      <w:lang w:val="en-CA" w:eastAsia="zh-CN" w:bidi="hi-IN"/>
    </w:rPr>
  </w:style>
  <w:style w:type="paragraph" w:styleId="ListParagraph">
    <w:name w:val="List Paragraph"/>
    <w:qFormat/>
    <w:pPr>
      <w:widowControl/>
      <w:suppressAutoHyphens w:val="true"/>
      <w:bidi w:val="0"/>
      <w:spacing w:before="0" w:after="0"/>
      <w:jc w:val="start"/>
    </w:pPr>
    <w:rPr>
      <w:rFonts w:ascii="Calibri" w:hAnsi="Calibri" w:eastAsia="Calibri" w:cs="Calibri"/>
      <w:color w:val="auto"/>
      <w:kern w:val="0"/>
      <w:sz w:val="22"/>
      <w:szCs w:val="22"/>
      <w:lang w:val="en-CA"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jpe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jpeg"/><Relationship Id="rId32" Type="http://schemas.openxmlformats.org/officeDocument/2006/relationships/image" Target="media/image31.png"/><Relationship Id="rId33" Type="http://schemas.openxmlformats.org/officeDocument/2006/relationships/image" Target="media/image32.jpeg"/><Relationship Id="rId34" Type="http://schemas.openxmlformats.org/officeDocument/2006/relationships/image" Target="media/image33.jpeg"/><Relationship Id="rId35" Type="http://schemas.openxmlformats.org/officeDocument/2006/relationships/header" Target="header1.xml"/><Relationship Id="rId36" Type="http://schemas.openxmlformats.org/officeDocument/2006/relationships/header" Target="header2.xml"/><Relationship Id="rId37" Type="http://schemas.openxmlformats.org/officeDocument/2006/relationships/header" Target="header3.xml"/><Relationship Id="rId38" Type="http://schemas.openxmlformats.org/officeDocument/2006/relationships/footer" Target="footer1.xml"/><Relationship Id="rId39" Type="http://schemas.openxmlformats.org/officeDocument/2006/relationships/footer" Target="footer2.xml"/><Relationship Id="rId40" Type="http://schemas.openxmlformats.org/officeDocument/2006/relationships/footer" Target="footer3.xml"/><Relationship Id="rId41" Type="http://schemas.openxmlformats.org/officeDocument/2006/relationships/numbering" Target="numbering.xml"/><Relationship Id="rId42" Type="http://schemas.openxmlformats.org/officeDocument/2006/relationships/fontTable" Target="fontTable.xml"/><Relationship Id="rId43" Type="http://schemas.openxmlformats.org/officeDocument/2006/relationships/settings" Target="settings.xml"/><Relationship Id="rId4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LibreOffice/26.2.6.3$Windows_X86_64 LibreOffice_project/8221e31b3ac356a1623c672912a3d2b492f7e3d1</Application>
  <AppVersion>15.0000</AppVersion>
  <Pages>12</Pages>
  <Words>1772</Words>
  <Characters>9895</Characters>
  <CharactersWithSpaces>11560</CharactersWithSpaces>
  <Paragraphs>171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2026-09-28T17:17:25Z</dcterms:created>
  <dc:creator>Michael McCorkell</dc:creator>
  <dc:description/>
  <dc:language>en-CA</dc:language>
  <cp:lastModifiedBy/>
  <dcterms:modified xsi:type="dcterms:W3CDTF">2026-10-05T16:25:13Z</dcterms:modified>
  <cp:revision>4</cp:revision>
  <dc:subject/>
  <dc:title>MENG 4010 Lab 01 Report</dc:title>
</cp:coreProperties>
</file>

<file path=docProps/custom.xml><?xml version="1.0" encoding="utf-8"?>
<Properties xmlns="http://schemas.openxmlformats.org/officeDocument/2006/custom-properties" xmlns:vt="http://schemas.openxmlformats.org/officeDocument/2006/docPropsVTypes"/>
</file>