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4532A"/>
          <w:sz w:val="18"/>
          <w:szCs w:val="18"/>
        </w:rPr>
        <w:t xml:space="preserve">DESIGN LANGUAGE · SPRINT v1</w:t>
      </w:r>
    </w:p>
    <w:p>
      <w:pPr>
        <w:spacing w:after="40"/>
      </w:pPr>
      <w:r>
        <w:rPr>
          <w:b/>
          <w:bCs/>
          <w:color w:val="1F2A44"/>
          <w:sz w:val="48"/>
          <w:szCs w:val="48"/>
        </w:rPr>
        <w:t xml:space="preserve">Nil</w:t>
      </w:r>
    </w:p>
    <w:p>
      <w:pPr>
        <w:spacing w:after="240"/>
      </w:pPr>
      <w:r>
        <w:rPr>
          <w:i/>
          <w:iCs/>
          <w:color w:val="555555"/>
          <w:sz w:val="19"/>
          <w:szCs w:val="19"/>
        </w:rPr>
        <w:t xml:space="preserve">The visual &amp; experiential system. Pairs with the product plan. Prepared 10 June 2026.</w:t>
      </w:r>
    </w:p>
    <w:p>
      <w:pPr>
        <w:pStyle w:val="Heading1"/>
      </w:pPr>
      <w:r>
        <w:t xml:space="preserve">1. Design principles</w:t>
      </w:r>
    </w:p>
    <w:p>
      <w:pPr>
        <w:spacing w:after="160" w:line="276"/>
      </w:pPr>
      <w:r>
        <w:t xml:space="preserve">Six rules every screen obeys. When a decision is unclear, these settle it.</w:t>
      </w:r>
    </w:p>
    <w:p>
      <w:pPr>
        <w:pStyle w:val="ListParagraph"/>
        <w:numPr>
          <w:ilvl w:val="0"/>
          <w:numId w:val="2"/>
        </w:numPr>
        <w:spacing w:after="80" w:line="272"/>
      </w:pPr>
      <w:r>
        <w:rPr>
          <w:b/>
          <w:bCs/>
        </w:rPr>
        <w:t xml:space="preserve">Agency, not guilt. </w:t>
      </w:r>
      <w:r>
        <w:t xml:space="preserve">Every screen offers the real option; we never block. The small, muted “order it for real” is always present and never hidden.</w:t>
      </w:r>
    </w:p>
    <w:p>
      <w:pPr>
        <w:pStyle w:val="ListParagraph"/>
        <w:numPr>
          <w:ilvl w:val="0"/>
          <w:numId w:val="2"/>
        </w:numPr>
        <w:spacing w:after="80" w:line="272"/>
      </w:pPr>
      <w:r>
        <w:rPr>
          <w:b/>
          <w:bCs/>
        </w:rPr>
        <w:t xml:space="preserve">Familiar, then subverted. </w:t>
      </w:r>
      <w:r>
        <w:t xml:space="preserve">The flow mirrors a delivery app so it’s instantly legible; the calm, muted skin is the first signal that it’s something else.</w:t>
      </w:r>
    </w:p>
    <w:p>
      <w:pPr>
        <w:pStyle w:val="ListParagraph"/>
        <w:numPr>
          <w:ilvl w:val="0"/>
          <w:numId w:val="2"/>
        </w:numPr>
        <w:spacing w:after="80" w:line="272"/>
      </w:pPr>
      <w:r>
        <w:rPr>
          <w:b/>
          <w:bCs/>
        </w:rPr>
        <w:t xml:space="preserve">Calm chrome, warm food. </w:t>
      </w:r>
      <w:r>
        <w:t xml:space="preserve">The interface stays quiet, muted, and low-contrast. Food photography is the single source of colour and warmth — it carries the ritual while the chrome carries the calm.</w:t>
      </w:r>
    </w:p>
    <w:p>
      <w:pPr>
        <w:pStyle w:val="ListParagraph"/>
        <w:numPr>
          <w:ilvl w:val="0"/>
          <w:numId w:val="2"/>
        </w:numPr>
        <w:spacing w:after="80" w:line="272"/>
      </w:pPr>
      <w:r>
        <w:rPr>
          <w:b/>
          <w:bCs/>
        </w:rPr>
        <w:t xml:space="preserve">Quiet UI, dry voice. </w:t>
      </w:r>
      <w:r>
        <w:t xml:space="preserve">The personality lives in the words, not the visuals. The screen is restrained; the copy is deadpan.</w:t>
      </w:r>
    </w:p>
    <w:p>
      <w:pPr>
        <w:pStyle w:val="ListParagraph"/>
        <w:numPr>
          <w:ilvl w:val="0"/>
          <w:numId w:val="2"/>
        </w:numPr>
        <w:spacing w:after="80" w:line="272"/>
      </w:pPr>
      <w:r>
        <w:rPr>
          <w:b/>
          <w:bCs/>
        </w:rPr>
        <w:t xml:space="preserve">Honest about being fake. </w:t>
      </w:r>
      <w:r>
        <w:t xml:space="preserve">Onboarding and tone own the trick. We never pretend an order is real.</w:t>
      </w:r>
    </w:p>
    <w:p>
      <w:pPr>
        <w:pStyle w:val="ListParagraph"/>
        <w:numPr>
          <w:ilvl w:val="0"/>
          <w:numId w:val="2"/>
        </w:numPr>
        <w:spacing w:after="80" w:line="272"/>
      </w:pPr>
      <w:r>
        <w:rPr>
          <w:b/>
          <w:bCs/>
        </w:rPr>
        <w:t xml:space="preserve">Money and count only. </w:t>
      </w:r>
      <w:r>
        <w:t xml:space="preserve">The product measures rupees kept and orders not placed — never calories, weight, or any body metric. This is a hard rule, not a preference.</w:t>
      </w:r>
    </w:p>
    <w:p>
      <w:pPr>
        <w:pStyle w:val="Heading1"/>
      </w:pPr>
      <w:r>
        <w:t xml:space="preserve">2. Brand identity</w:t>
      </w:r>
    </w:p>
    <w:p>
      <w:pPr>
        <w:spacing w:after="160" w:line="276"/>
      </w:pPr>
      <w:r>
        <w:rPr>
          <w:b/>
          <w:bCs/>
        </w:rPr>
        <w:t xml:space="preserve">Name. </w:t>
      </w:r>
      <w:r>
        <w:t xml:space="preserve">Nil — “nothing” in English (you order nothing), “stop” in Tamil (stop the impulse). One word, two true readings.</w:t>
      </w:r>
    </w:p>
    <w:p>
      <w:pPr>
        <w:spacing w:after="160" w:line="276"/>
      </w:pPr>
      <w:r>
        <w:rPr>
          <w:b/>
          <w:bCs/>
        </w:rPr>
        <w:t xml:space="preserve">Wordmark. </w:t>
      </w:r>
      <w:r>
        <w:t xml:space="preserve">Set in the display face, lowercase: </w:t>
      </w:r>
      <w:r>
        <w:rPr>
          <w:i/>
          <w:iCs/>
        </w:rPr>
        <w:t xml:space="preserve">nil.</w:t>
      </w:r>
      <w:r>
        <w:t xml:space="preserve"> — with the full stop kept. The period does double duty: it’s a full stop, and it’s the “stop.” Minimal, deadpan, no icon required.</w:t>
      </w:r>
    </w:p>
    <w:p>
      <w:pPr>
        <w:spacing w:after="160" w:line="276"/>
      </w:pPr>
      <w:r>
        <w:rPr>
          <w:b/>
          <w:bCs/>
        </w:rPr>
        <w:t xml:space="preserve">Logo direction. </w:t>
      </w:r>
      <w:r>
        <w:t xml:space="preserve">If a mark is needed beyond the wordmark, lean on negative space — an empty plate or bowl — rather than a literal food icon. Keep it quiet.</w:t>
      </w:r>
    </w:p>
    <w:p>
      <w:pPr>
        <w:spacing w:after="160" w:line="276"/>
      </w:pPr>
      <w:r>
        <w:rPr>
          <w:b/>
          <w:bCs/>
        </w:rPr>
        <w:t xml:space="preserve">Taglines (direction). </w:t>
      </w:r>
      <w:r>
        <w:rPr>
          <w:i/>
          <w:iCs/>
        </w:rPr>
        <w:t xml:space="preserve">“You can have it. Just not right now.”</w:t>
      </w:r>
      <w:r>
        <w:t xml:space="preserve"> / </w:t>
      </w:r>
      <w:r>
        <w:rPr>
          <w:i/>
          <w:iCs/>
        </w:rPr>
        <w:t xml:space="preserve">“All the craving. None of the cost.”</w:t>
      </w:r>
    </w:p>
    <w:p>
      <w:pPr>
        <w:pStyle w:val="Heading1"/>
      </w:pPr>
      <w:r>
        <w:t xml:space="preserve">3. Voice &amp; copy</w:t>
      </w:r>
    </w:p>
    <w:p>
      <w:pPr>
        <w:spacing w:after="160" w:line="276"/>
      </w:pPr>
      <w:r>
        <w:t xml:space="preserve">Dry, warm, knowing, short. Nil talks like a friend who’s in on the joke — never a coach, never a therapist. It </w:t>
      </w:r>
      <w:r>
        <w:rPr>
          <w:b/>
          <w:bCs/>
        </w:rPr>
        <w:t xml:space="preserve">never</w:t>
      </w:r>
      <w:r>
        <w:t xml:space="preserve"> shames (“you failed”), never uses wellness-speak (“your journey,” “mindful eating”), and never mentions calories or bodies. The win it names is always money kept and the ritual completed — never food resisted.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8D2C8" w:sz="1"/>
              <w:left w:val="single" w:color="D8D2C8" w:sz="1"/>
              <w:bottom w:val="single" w:color="D8D2C8" w:sz="1"/>
              <w:right w:val="single" w:color="D8D2C8" w:sz="1"/>
            </w:tcBorders>
            <w:shd w:fill="1F2A44" w:val="clear"/>
            <w:tcMar>
              <w:top w:type="dxa" w:w="80"/>
              <w:left w:type="dxa" w:w="120"/>
              <w:bottom w:type="dxa" w:w="80"/>
              <w:right w:type="dxa" w:w="120"/>
            </w:tcMar>
          </w:tcPr>
          <w:p>
            <w:pPr>
              <w:spacing w:after="0" w:line="264"/>
            </w:pPr>
            <w:r>
              <w:rPr>
                <w:b/>
                <w:bCs/>
                <w:color w:val="FFFFFF"/>
              </w:rPr>
              <w:t xml:space="preserve">Moment</w:t>
            </w:r>
          </w:p>
        </w:tc>
        <w:tc>
          <w:tcPr>
            <w:tcW w:type="dxa" w:w="6360"/>
            <w:tcBorders>
              <w:top w:val="single" w:color="D8D2C8" w:sz="1"/>
              <w:left w:val="single" w:color="D8D2C8" w:sz="1"/>
              <w:bottom w:val="single" w:color="D8D2C8" w:sz="1"/>
              <w:right w:val="single" w:color="D8D2C8" w:sz="1"/>
            </w:tcBorders>
            <w:shd w:fill="1F2A44" w:val="clear"/>
            <w:tcMar>
              <w:top w:type="dxa" w:w="80"/>
              <w:left w:type="dxa" w:w="120"/>
              <w:bottom w:type="dxa" w:w="80"/>
              <w:right w:type="dxa" w:w="120"/>
            </w:tcMar>
          </w:tcPr>
          <w:p>
            <w:pPr>
              <w:spacing w:after="0" w:line="264"/>
            </w:pPr>
            <w:r>
              <w:rPr>
                <w:b/>
                <w:bCs/>
                <w:color w:val="FFFFFF"/>
              </w:rPr>
              <w:t xml:space="preserve">Sample line (direction, not final)</w:t>
            </w:r>
          </w:p>
        </w:tc>
      </w:tr>
      <w:tr>
        <w:tc>
          <w:tcPr>
            <w:tcW w:type="dxa" w:w="3000"/>
            <w:tcBorders>
              <w:top w:val="single" w:color="D8D2C8" w:sz="1"/>
              <w:left w:val="single" w:color="D8D2C8" w:sz="1"/>
              <w:bottom w:val="single" w:color="D8D2C8" w:sz="1"/>
              <w:right w:val="single" w:color="D8D2C8" w:sz="1"/>
            </w:tcBorders>
            <w:shd w:fill="F0ECE6" w:val="clear"/>
            <w:tcMar>
              <w:top w:type="dxa" w:w="80"/>
              <w:left w:type="dxa" w:w="120"/>
              <w:bottom w:type="dxa" w:w="80"/>
              <w:right w:type="dxa" w:w="120"/>
            </w:tcMar>
          </w:tcPr>
          <w:p>
            <w:pPr>
              <w:spacing w:after="0" w:line="264"/>
            </w:pPr>
            <w:r>
              <w:rPr>
                <w:b w:val="false"/>
                <w:bCs w:val="false"/>
              </w:rPr>
              <w:t xml:space="preserve">Onboarding</w:t>
            </w:r>
          </w:p>
        </w:tc>
        <w:tc>
          <w:tcPr>
            <w:tcW w:type="dxa" w:w="636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i/>
                <w:iCs/>
              </w:rPr>
              <w:t xml:space="preserve">A food app where nothing arrives. Browse it, cart it, “order” it — then nothing comes, and somehow that’s enough.</w:t>
            </w:r>
          </w:p>
        </w:tc>
      </w:tr>
      <w:tr>
        <w:tc>
          <w:tcPr>
            <w:tcW w:type="dxa" w:w="3000"/>
            <w:tcBorders>
              <w:top w:val="single" w:color="D8D2C8" w:sz="1"/>
              <w:left w:val="single" w:color="D8D2C8" w:sz="1"/>
              <w:bottom w:val="single" w:color="D8D2C8" w:sz="1"/>
              <w:right w:val="single" w:color="D8D2C8" w:sz="1"/>
            </w:tcBorders>
            <w:shd w:fill="F0ECE6" w:val="clear"/>
            <w:tcMar>
              <w:top w:type="dxa" w:w="80"/>
              <w:left w:type="dxa" w:w="120"/>
              <w:bottom w:type="dxa" w:w="80"/>
              <w:right w:type="dxa" w:w="120"/>
            </w:tcMar>
          </w:tcPr>
          <w:p>
            <w:pPr>
              <w:spacing w:after="0" w:line="264"/>
            </w:pPr>
            <w:r>
              <w:rPr>
                <w:b w:val="false"/>
                <w:bCs w:val="false"/>
              </w:rPr>
              <w:t xml:space="preserve">Checkout button</w:t>
            </w:r>
          </w:p>
        </w:tc>
        <w:tc>
          <w:tcPr>
            <w:tcW w:type="dxa" w:w="636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i/>
                <w:iCs/>
              </w:rPr>
              <w:t xml:space="preserve">Order nothing</w:t>
            </w:r>
          </w:p>
        </w:tc>
      </w:tr>
      <w:tr>
        <w:tc>
          <w:tcPr>
            <w:tcW w:type="dxa" w:w="3000"/>
            <w:tcBorders>
              <w:top w:val="single" w:color="D8D2C8" w:sz="1"/>
              <w:left w:val="single" w:color="D8D2C8" w:sz="1"/>
              <w:bottom w:val="single" w:color="D8D2C8" w:sz="1"/>
              <w:right w:val="single" w:color="D8D2C8" w:sz="1"/>
            </w:tcBorders>
            <w:shd w:fill="F0ECE6" w:val="clear"/>
            <w:tcMar>
              <w:top w:type="dxa" w:w="80"/>
              <w:left w:type="dxa" w:w="120"/>
              <w:bottom w:type="dxa" w:w="80"/>
              <w:right w:type="dxa" w:w="120"/>
            </w:tcMar>
          </w:tcPr>
          <w:p>
            <w:pPr>
              <w:spacing w:after="0" w:line="264"/>
            </w:pPr>
            <w:r>
              <w:rPr>
                <w:b w:val="false"/>
                <w:bCs w:val="false"/>
              </w:rPr>
              <w:t xml:space="preserve">Order placed</w:t>
            </w:r>
          </w:p>
        </w:tc>
        <w:tc>
          <w:tcPr>
            <w:tcW w:type="dxa" w:w="636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i/>
                <w:iCs/>
              </w:rPr>
              <w:t xml:space="preserve">Order placed. Nothing’s on its way.</w:t>
            </w:r>
          </w:p>
        </w:tc>
      </w:tr>
      <w:tr>
        <w:tc>
          <w:tcPr>
            <w:tcW w:type="dxa" w:w="3000"/>
            <w:tcBorders>
              <w:top w:val="single" w:color="D8D2C8" w:sz="1"/>
              <w:left w:val="single" w:color="D8D2C8" w:sz="1"/>
              <w:bottom w:val="single" w:color="D8D2C8" w:sz="1"/>
              <w:right w:val="single" w:color="D8D2C8" w:sz="1"/>
            </w:tcBorders>
            <w:shd w:fill="F0ECE6" w:val="clear"/>
            <w:tcMar>
              <w:top w:type="dxa" w:w="80"/>
              <w:left w:type="dxa" w:w="120"/>
              <w:bottom w:type="dxa" w:w="80"/>
              <w:right w:type="dxa" w:w="120"/>
            </w:tcMar>
          </w:tcPr>
          <w:p>
            <w:pPr>
              <w:spacing w:after="0" w:line="264"/>
            </w:pPr>
            <w:r>
              <w:rPr>
                <w:b w:val="false"/>
                <w:bCs w:val="false"/>
              </w:rPr>
              <w:t xml:space="preserve">Tracking</w:t>
            </w:r>
          </w:p>
        </w:tc>
        <w:tc>
          <w:tcPr>
            <w:tcW w:type="dxa" w:w="636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i/>
                <w:iCs/>
              </w:rPr>
              <w:t xml:space="preserve">Your nothing is 4 minutes away.</w:t>
            </w:r>
          </w:p>
        </w:tc>
      </w:tr>
      <w:tr>
        <w:tc>
          <w:tcPr>
            <w:tcW w:type="dxa" w:w="3000"/>
            <w:tcBorders>
              <w:top w:val="single" w:color="D8D2C8" w:sz="1"/>
              <w:left w:val="single" w:color="D8D2C8" w:sz="1"/>
              <w:bottom w:val="single" w:color="D8D2C8" w:sz="1"/>
              <w:right w:val="single" w:color="D8D2C8" w:sz="1"/>
            </w:tcBorders>
            <w:shd w:fill="F0ECE6" w:val="clear"/>
            <w:tcMar>
              <w:top w:type="dxa" w:w="80"/>
              <w:left w:type="dxa" w:w="120"/>
              <w:bottom w:type="dxa" w:w="80"/>
              <w:right w:type="dxa" w:w="120"/>
            </w:tcMar>
          </w:tcPr>
          <w:p>
            <w:pPr>
              <w:spacing w:after="0" w:line="264"/>
            </w:pPr>
            <w:r>
              <w:rPr>
                <w:b w:val="false"/>
                <w:bCs w:val="false"/>
              </w:rPr>
              <w:t xml:space="preserve">Let it go (delivered)</w:t>
            </w:r>
          </w:p>
        </w:tc>
        <w:tc>
          <w:tcPr>
            <w:tcW w:type="dxa" w:w="636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i/>
                <w:iCs/>
              </w:rPr>
              <w:t xml:space="preserve">Delivered. You wanted the ritual, not the rice. ₹420 stays in your pocket.</w:t>
            </w:r>
          </w:p>
        </w:tc>
      </w:tr>
      <w:tr>
        <w:tc>
          <w:tcPr>
            <w:tcW w:type="dxa" w:w="3000"/>
            <w:tcBorders>
              <w:top w:val="single" w:color="D8D2C8" w:sz="1"/>
              <w:left w:val="single" w:color="D8D2C8" w:sz="1"/>
              <w:bottom w:val="single" w:color="D8D2C8" w:sz="1"/>
              <w:right w:val="single" w:color="D8D2C8" w:sz="1"/>
            </w:tcBorders>
            <w:shd w:fill="F0ECE6" w:val="clear"/>
            <w:tcMar>
              <w:top w:type="dxa" w:w="80"/>
              <w:left w:type="dxa" w:w="120"/>
              <w:bottom w:type="dxa" w:w="80"/>
              <w:right w:type="dxa" w:w="120"/>
            </w:tcMar>
          </w:tcPr>
          <w:p>
            <w:pPr>
              <w:spacing w:after="0" w:line="264"/>
            </w:pPr>
            <w:r>
              <w:rPr>
                <w:b w:val="false"/>
                <w:bCs w:val="false"/>
              </w:rPr>
              <w:t xml:space="preserve">Ledger</w:t>
            </w:r>
          </w:p>
        </w:tc>
        <w:tc>
          <w:tcPr>
            <w:tcW w:type="dxa" w:w="636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i/>
                <w:iCs/>
              </w:rPr>
              <w:t xml:space="preserve">Nothing ordered: 12 · Money kept: ₹4,380</w:t>
            </w:r>
          </w:p>
        </w:tc>
      </w:tr>
      <w:tr>
        <w:tc>
          <w:tcPr>
            <w:tcW w:type="dxa" w:w="3000"/>
            <w:tcBorders>
              <w:top w:val="single" w:color="D8D2C8" w:sz="1"/>
              <w:left w:val="single" w:color="D8D2C8" w:sz="1"/>
              <w:bottom w:val="single" w:color="D8D2C8" w:sz="1"/>
              <w:right w:val="single" w:color="D8D2C8" w:sz="1"/>
            </w:tcBorders>
            <w:shd w:fill="F0ECE6" w:val="clear"/>
            <w:tcMar>
              <w:top w:type="dxa" w:w="80"/>
              <w:left w:type="dxa" w:w="120"/>
              <w:bottom w:type="dxa" w:w="80"/>
              <w:right w:type="dxa" w:w="120"/>
            </w:tcMar>
          </w:tcPr>
          <w:p>
            <w:pPr>
              <w:spacing w:after="0" w:line="264"/>
            </w:pPr>
            <w:r>
              <w:rPr>
                <w:b w:val="false"/>
                <w:bCs w:val="false"/>
              </w:rPr>
              <w:t xml:space="preserve">The always-there option</w:t>
            </w:r>
          </w:p>
        </w:tc>
        <w:tc>
          <w:tcPr>
            <w:tcW w:type="dxa" w:w="636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i/>
                <w:iCs/>
              </w:rPr>
              <w:t xml:space="preserve">order it for real (small, muted, never hidden)</w:t>
            </w:r>
          </w:p>
        </w:tc>
      </w:tr>
    </w:tbl>
    <w:p>
      <w:pPr>
        <w:pStyle w:val="Heading1"/>
      </w:pPr>
      <w:r>
        <w:t xml:space="preserve">4. Colour</w:t>
      </w:r>
    </w:p>
    <w:p>
      <w:pPr>
        <w:spacing w:after="160" w:line="276"/>
      </w:pPr>
      <w:r>
        <w:t xml:space="preserve">A dim, low-saturation, warm palette — calm enough for 2 a.m. and quiet enough to let the food be the only thing with colour. One accent (clay), used sparingly; one positive tone (sage), reserved for the money-kept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600"/>
        <w:gridCol w:w="4560"/>
      </w:tblGrid>
      <w:tr>
        <w:trPr>
          <w:tblHeader/>
        </w:trPr>
        <w:tc>
          <w:tcPr>
            <w:tcW w:type="dxa" w:w="900"/>
            <w:tcBorders>
              <w:top w:val="single" w:color="D8D2C8" w:sz="1"/>
              <w:left w:val="single" w:color="D8D2C8" w:sz="1"/>
              <w:bottom w:val="single" w:color="D8D2C8" w:sz="1"/>
              <w:right w:val="single" w:color="D8D2C8" w:sz="1"/>
            </w:tcBorders>
            <w:shd w:fill="1F2A44" w:val="clear"/>
            <w:tcMar>
              <w:top w:type="dxa" w:w="80"/>
              <w:left w:type="dxa" w:w="120"/>
              <w:bottom w:type="dxa" w:w="80"/>
              <w:right w:type="dxa" w:w="120"/>
            </w:tcMar>
          </w:tcPr>
          <w:p>
            <w:pPr>
              <w:spacing w:after="0" w:line="264"/>
            </w:pPr>
            <w:r>
              <w:rPr>
                <w:b w:val="false"/>
                <w:bCs w:val="false"/>
              </w:rPr>
              <w:t xml:space="preserve"/>
            </w:r>
          </w:p>
        </w:tc>
        <w:tc>
          <w:tcPr>
            <w:tcW w:type="dxa" w:w="2300"/>
            <w:tcBorders>
              <w:top w:val="single" w:color="D8D2C8" w:sz="1"/>
              <w:left w:val="single" w:color="D8D2C8" w:sz="1"/>
              <w:bottom w:val="single" w:color="D8D2C8" w:sz="1"/>
              <w:right w:val="single" w:color="D8D2C8" w:sz="1"/>
            </w:tcBorders>
            <w:shd w:fill="1F2A44" w:val="clear"/>
            <w:tcMar>
              <w:top w:type="dxa" w:w="80"/>
              <w:left w:type="dxa" w:w="120"/>
              <w:bottom w:type="dxa" w:w="80"/>
              <w:right w:type="dxa" w:w="120"/>
            </w:tcMar>
          </w:tcPr>
          <w:p>
            <w:pPr>
              <w:spacing w:after="0" w:line="264"/>
            </w:pPr>
            <w:r>
              <w:rPr>
                <w:b/>
                <w:bCs/>
                <w:color w:val="FFFFFF"/>
              </w:rPr>
              <w:t xml:space="preserve">Role</w:t>
            </w:r>
          </w:p>
        </w:tc>
        <w:tc>
          <w:tcPr>
            <w:tcW w:type="dxa" w:w="1600"/>
            <w:tcBorders>
              <w:top w:val="single" w:color="D8D2C8" w:sz="1"/>
              <w:left w:val="single" w:color="D8D2C8" w:sz="1"/>
              <w:bottom w:val="single" w:color="D8D2C8" w:sz="1"/>
              <w:right w:val="single" w:color="D8D2C8" w:sz="1"/>
            </w:tcBorders>
            <w:shd w:fill="1F2A44" w:val="clear"/>
            <w:tcMar>
              <w:top w:type="dxa" w:w="80"/>
              <w:left w:type="dxa" w:w="120"/>
              <w:bottom w:type="dxa" w:w="80"/>
              <w:right w:type="dxa" w:w="120"/>
            </w:tcMar>
          </w:tcPr>
          <w:p>
            <w:pPr>
              <w:spacing w:after="0" w:line="264"/>
            </w:pPr>
            <w:r>
              <w:rPr>
                <w:b/>
                <w:bCs/>
                <w:color w:val="FFFFFF"/>
              </w:rPr>
              <w:t xml:space="preserve">Hex</w:t>
            </w:r>
          </w:p>
        </w:tc>
        <w:tc>
          <w:tcPr>
            <w:tcW w:type="dxa" w:w="4560"/>
            <w:tcBorders>
              <w:top w:val="single" w:color="D8D2C8" w:sz="1"/>
              <w:left w:val="single" w:color="D8D2C8" w:sz="1"/>
              <w:bottom w:val="single" w:color="D8D2C8" w:sz="1"/>
              <w:right w:val="single" w:color="D8D2C8" w:sz="1"/>
            </w:tcBorders>
            <w:shd w:fill="1F2A44" w:val="clear"/>
            <w:tcMar>
              <w:top w:type="dxa" w:w="80"/>
              <w:left w:type="dxa" w:w="120"/>
              <w:bottom w:type="dxa" w:w="80"/>
              <w:right w:type="dxa" w:w="120"/>
            </w:tcMar>
          </w:tcPr>
          <w:p>
            <w:pPr>
              <w:spacing w:after="0" w:line="264"/>
            </w:pPr>
            <w:r>
              <w:rPr>
                <w:b/>
                <w:bCs/>
                <w:color w:val="FFFFFF"/>
              </w:rPr>
              <w:t xml:space="preserve">Usage</w:t>
            </w:r>
          </w:p>
        </w:tc>
      </w:tr>
      <w:tr>
        <w:tc>
          <w:tcPr>
            <w:tcW w:type="dxa" w:w="900"/>
            <w:tcBorders>
              <w:top w:val="single" w:color="D8D2C8" w:sz="1"/>
              <w:left w:val="single" w:color="D8D2C8" w:sz="1"/>
              <w:bottom w:val="single" w:color="D8D2C8" w:sz="1"/>
              <w:right w:val="single" w:color="D8D2C8" w:sz="1"/>
            </w:tcBorders>
            <w:shd w:fill="201C18" w:val="clear"/>
            <w:tcMar>
              <w:top w:type="dxa" w:w="80"/>
              <w:left w:type="dxa" w:w="120"/>
              <w:bottom w:type="dxa" w:w="80"/>
              <w:right w:type="dxa" w:w="120"/>
            </w:tcMar>
          </w:tcPr>
          <w:p>
            <w:pPr>
              <w:spacing w:after="0"/>
            </w:pPr>
            <w:r>
              <w:t xml:space="preserve"> </w:t>
            </w:r>
          </w:p>
        </w:tc>
        <w:tc>
          <w:tcPr>
            <w:tcW w:type="dxa" w:w="230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b w:val="false"/>
                <w:bCs w:val="false"/>
              </w:rPr>
              <w:t xml:space="preserve">Base</w:t>
            </w:r>
          </w:p>
        </w:tc>
        <w:tc>
          <w:tcPr>
            <w:tcW w:type="dxa" w:w="160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b w:val="false"/>
                <w:bCs w:val="false"/>
              </w:rPr>
              <w:t xml:space="preserve">#201C18</w:t>
            </w:r>
          </w:p>
        </w:tc>
        <w:tc>
          <w:tcPr>
            <w:tcW w:type="dxa" w:w="456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b w:val="false"/>
                <w:bCs w:val="false"/>
              </w:rPr>
              <w:t xml:space="preserve">App background — warm charcoal, dim for night</w:t>
            </w:r>
          </w:p>
        </w:tc>
      </w:tr>
      <w:tr>
        <w:tc>
          <w:tcPr>
            <w:tcW w:type="dxa" w:w="900"/>
            <w:tcBorders>
              <w:top w:val="single" w:color="D8D2C8" w:sz="1"/>
              <w:left w:val="single" w:color="D8D2C8" w:sz="1"/>
              <w:bottom w:val="single" w:color="D8D2C8" w:sz="1"/>
              <w:right w:val="single" w:color="D8D2C8" w:sz="1"/>
            </w:tcBorders>
            <w:shd w:fill="2A2521" w:val="clear"/>
            <w:tcMar>
              <w:top w:type="dxa" w:w="80"/>
              <w:left w:type="dxa" w:w="120"/>
              <w:bottom w:type="dxa" w:w="80"/>
              <w:right w:type="dxa" w:w="120"/>
            </w:tcMar>
          </w:tcPr>
          <w:p>
            <w:pPr>
              <w:spacing w:after="0"/>
            </w:pPr>
            <w:r>
              <w:t xml:space="preserve"> </w:t>
            </w:r>
          </w:p>
        </w:tc>
        <w:tc>
          <w:tcPr>
            <w:tcW w:type="dxa" w:w="230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b w:val="false"/>
                <w:bCs w:val="false"/>
              </w:rPr>
              <w:t xml:space="preserve">Surface</w:t>
            </w:r>
          </w:p>
        </w:tc>
        <w:tc>
          <w:tcPr>
            <w:tcW w:type="dxa" w:w="160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b w:val="false"/>
                <w:bCs w:val="false"/>
              </w:rPr>
              <w:t xml:space="preserve">#2A2521</w:t>
            </w:r>
          </w:p>
        </w:tc>
        <w:tc>
          <w:tcPr>
            <w:tcW w:type="dxa" w:w="456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b w:val="false"/>
                <w:bCs w:val="false"/>
              </w:rPr>
              <w:t xml:space="preserve">Cards, sheets, the cart</w:t>
            </w:r>
          </w:p>
        </w:tc>
      </w:tr>
      <w:tr>
        <w:tc>
          <w:tcPr>
            <w:tcW w:type="dxa" w:w="900"/>
            <w:tcBorders>
              <w:top w:val="single" w:color="D8D2C8" w:sz="1"/>
              <w:left w:val="single" w:color="D8D2C8" w:sz="1"/>
              <w:bottom w:val="single" w:color="D8D2C8" w:sz="1"/>
              <w:right w:val="single" w:color="D8D2C8" w:sz="1"/>
            </w:tcBorders>
            <w:shd w:fill="ECE6DD" w:val="clear"/>
            <w:tcMar>
              <w:top w:type="dxa" w:w="80"/>
              <w:left w:type="dxa" w:w="120"/>
              <w:bottom w:type="dxa" w:w="80"/>
              <w:right w:type="dxa" w:w="120"/>
            </w:tcMar>
          </w:tcPr>
          <w:p>
            <w:pPr>
              <w:spacing w:after="0"/>
            </w:pPr>
            <w:r>
              <w:t xml:space="preserve"> </w:t>
            </w:r>
          </w:p>
        </w:tc>
        <w:tc>
          <w:tcPr>
            <w:tcW w:type="dxa" w:w="230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b w:val="false"/>
                <w:bCs w:val="false"/>
              </w:rPr>
              <w:t xml:space="preserve">Text</w:t>
            </w:r>
          </w:p>
        </w:tc>
        <w:tc>
          <w:tcPr>
            <w:tcW w:type="dxa" w:w="160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b w:val="false"/>
                <w:bCs w:val="false"/>
              </w:rPr>
              <w:t xml:space="preserve">#ECE6DD</w:t>
            </w:r>
          </w:p>
        </w:tc>
        <w:tc>
          <w:tcPr>
            <w:tcW w:type="dxa" w:w="456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b w:val="false"/>
                <w:bCs w:val="false"/>
              </w:rPr>
              <w:t xml:space="preserve">Primary text — soft off-white, never pure white</w:t>
            </w:r>
          </w:p>
        </w:tc>
      </w:tr>
      <w:tr>
        <w:tc>
          <w:tcPr>
            <w:tcW w:type="dxa" w:w="900"/>
            <w:tcBorders>
              <w:top w:val="single" w:color="D8D2C8" w:sz="1"/>
              <w:left w:val="single" w:color="D8D2C8" w:sz="1"/>
              <w:bottom w:val="single" w:color="D8D2C8" w:sz="1"/>
              <w:right w:val="single" w:color="D8D2C8" w:sz="1"/>
            </w:tcBorders>
            <w:shd w:fill="A89E92" w:val="clear"/>
            <w:tcMar>
              <w:top w:type="dxa" w:w="80"/>
              <w:left w:type="dxa" w:w="120"/>
              <w:bottom w:type="dxa" w:w="80"/>
              <w:right w:type="dxa" w:w="120"/>
            </w:tcMar>
          </w:tcPr>
          <w:p>
            <w:pPr>
              <w:spacing w:after="0"/>
            </w:pPr>
            <w:r>
              <w:t xml:space="preserve"> </w:t>
            </w:r>
          </w:p>
        </w:tc>
        <w:tc>
          <w:tcPr>
            <w:tcW w:type="dxa" w:w="230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b w:val="false"/>
                <w:bCs w:val="false"/>
              </w:rPr>
              <w:t xml:space="preserve">Muted text</w:t>
            </w:r>
          </w:p>
        </w:tc>
        <w:tc>
          <w:tcPr>
            <w:tcW w:type="dxa" w:w="160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b w:val="false"/>
                <w:bCs w:val="false"/>
              </w:rPr>
              <w:t xml:space="preserve">#A89E92</w:t>
            </w:r>
          </w:p>
        </w:tc>
        <w:tc>
          <w:tcPr>
            <w:tcW w:type="dxa" w:w="456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b w:val="false"/>
                <w:bCs w:val="false"/>
              </w:rPr>
              <w:t xml:space="preserve">Secondary text, labels, the always-there 'order for real'</w:t>
            </w:r>
          </w:p>
        </w:tc>
      </w:tr>
      <w:tr>
        <w:tc>
          <w:tcPr>
            <w:tcW w:type="dxa" w:w="900"/>
            <w:tcBorders>
              <w:top w:val="single" w:color="D8D2C8" w:sz="1"/>
              <w:left w:val="single" w:color="D8D2C8" w:sz="1"/>
              <w:bottom w:val="single" w:color="D8D2C8" w:sz="1"/>
              <w:right w:val="single" w:color="D8D2C8" w:sz="1"/>
            </w:tcBorders>
            <w:shd w:fill="BC7558" w:val="clear"/>
            <w:tcMar>
              <w:top w:type="dxa" w:w="80"/>
              <w:left w:type="dxa" w:w="120"/>
              <w:bottom w:type="dxa" w:w="80"/>
              <w:right w:type="dxa" w:w="120"/>
            </w:tcMar>
          </w:tcPr>
          <w:p>
            <w:pPr>
              <w:spacing w:after="0"/>
            </w:pPr>
            <w:r>
              <w:t xml:space="preserve"> </w:t>
            </w:r>
          </w:p>
        </w:tc>
        <w:tc>
          <w:tcPr>
            <w:tcW w:type="dxa" w:w="230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b w:val="false"/>
                <w:bCs w:val="false"/>
              </w:rPr>
              <w:t xml:space="preserve">Clay</w:t>
            </w:r>
          </w:p>
        </w:tc>
        <w:tc>
          <w:tcPr>
            <w:tcW w:type="dxa" w:w="160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b w:val="false"/>
                <w:bCs w:val="false"/>
              </w:rPr>
              <w:t xml:space="preserve">#BC7558</w:t>
            </w:r>
          </w:p>
        </w:tc>
        <w:tc>
          <w:tcPr>
            <w:tcW w:type="dxa" w:w="456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b w:val="false"/>
                <w:bCs w:val="false"/>
              </w:rPr>
              <w:t xml:space="preserve">The one accent — primary actions, used sparingly</w:t>
            </w:r>
          </w:p>
        </w:tc>
      </w:tr>
      <w:tr>
        <w:tc>
          <w:tcPr>
            <w:tcW w:type="dxa" w:w="900"/>
            <w:tcBorders>
              <w:top w:val="single" w:color="D8D2C8" w:sz="1"/>
              <w:left w:val="single" w:color="D8D2C8" w:sz="1"/>
              <w:bottom w:val="single" w:color="D8D2C8" w:sz="1"/>
              <w:right w:val="single" w:color="D8D2C8" w:sz="1"/>
            </w:tcBorders>
            <w:shd w:fill="8FB39A" w:val="clear"/>
            <w:tcMar>
              <w:top w:type="dxa" w:w="80"/>
              <w:left w:type="dxa" w:w="120"/>
              <w:bottom w:type="dxa" w:w="80"/>
              <w:right w:type="dxa" w:w="120"/>
            </w:tcMar>
          </w:tcPr>
          <w:p>
            <w:pPr>
              <w:spacing w:after="0"/>
            </w:pPr>
            <w:r>
              <w:t xml:space="preserve"> </w:t>
            </w:r>
          </w:p>
        </w:tc>
        <w:tc>
          <w:tcPr>
            <w:tcW w:type="dxa" w:w="230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b w:val="false"/>
                <w:bCs w:val="false"/>
              </w:rPr>
              <w:t xml:space="preserve">Sage</w:t>
            </w:r>
          </w:p>
        </w:tc>
        <w:tc>
          <w:tcPr>
            <w:tcW w:type="dxa" w:w="160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b w:val="false"/>
                <w:bCs w:val="false"/>
              </w:rPr>
              <w:t xml:space="preserve">#8FB39A</w:t>
            </w:r>
          </w:p>
        </w:tc>
        <w:tc>
          <w:tcPr>
            <w:tcW w:type="dxa" w:w="4560"/>
            <w:tcBorders>
              <w:top w:val="single" w:color="D8D2C8" w:sz="1"/>
              <w:left w:val="single" w:color="D8D2C8" w:sz="1"/>
              <w:bottom w:val="single" w:color="D8D2C8" w:sz="1"/>
              <w:right w:val="single" w:color="D8D2C8" w:sz="1"/>
            </w:tcBorders>
            <w:tcMar>
              <w:top w:type="dxa" w:w="80"/>
              <w:left w:type="dxa" w:w="120"/>
              <w:bottom w:type="dxa" w:w="80"/>
              <w:right w:type="dxa" w:w="120"/>
            </w:tcMar>
          </w:tcPr>
          <w:p>
            <w:pPr>
              <w:spacing w:after="0" w:line="264"/>
            </w:pPr>
            <w:r>
              <w:rPr>
                <w:b w:val="false"/>
                <w:bCs w:val="false"/>
              </w:rPr>
              <w:t xml:space="preserve">The 'money kept' total only</w:t>
            </w:r>
          </w:p>
        </w:tc>
      </w:tr>
    </w:tbl>
    <w:p>
      <w:pPr>
        <w:spacing w:after="160" w:line="276"/>
      </w:pPr>
      <w:r>
        <w:rPr>
          <w:i/>
          <w:iCs/>
        </w:rPr>
        <w:t xml:space="preserve">Food photography is intentionally absent from this table — it is the only fully saturated element in the product, and it lives against these muted surfaces so it pops without the chrome competing.</w:t>
      </w:r>
    </w:p>
    <w:p>
      <w:pPr>
        <w:pStyle w:val="Heading1"/>
      </w:pPr>
      <w:r>
        <w:t xml:space="preserve">5. Typography</w:t>
      </w:r>
    </w:p>
    <w:p>
      <w:pPr>
        <w:pStyle w:val="ListParagraph"/>
        <w:numPr>
          <w:ilvl w:val="0"/>
          <w:numId w:val="2"/>
        </w:numPr>
        <w:spacing w:after="80" w:line="272"/>
      </w:pPr>
      <w:r>
        <w:rPr>
          <w:b/>
          <w:bCs/>
        </w:rPr>
        <w:t xml:space="preserve">Display (wordmark + headings). </w:t>
      </w:r>
      <w:r>
        <w:t xml:space="preserve">A characterful but calm face — distinctive enough to carry the brand, restrained enough not to shout. Used sparingly.</w:t>
      </w:r>
    </w:p>
    <w:p>
      <w:pPr>
        <w:pStyle w:val="ListParagraph"/>
        <w:numPr>
          <w:ilvl w:val="0"/>
          <w:numId w:val="2"/>
        </w:numPr>
        <w:spacing w:after="80" w:line="272"/>
      </w:pPr>
      <w:r>
        <w:rPr>
          <w:b/>
          <w:bCs/>
        </w:rPr>
        <w:t xml:space="preserve">Interface. </w:t>
      </w:r>
      <w:r>
        <w:t xml:space="preserve">A neutral, highly legible sans (e.g. a clean grotesque) for everything functional. Two weights only.</w:t>
      </w:r>
    </w:p>
    <w:p>
      <w:pPr>
        <w:pStyle w:val="ListParagraph"/>
        <w:numPr>
          <w:ilvl w:val="0"/>
          <w:numId w:val="2"/>
        </w:numPr>
        <w:spacing w:after="80" w:line="272"/>
      </w:pPr>
      <w:r>
        <w:rPr>
          <w:b/>
          <w:bCs/>
        </w:rPr>
        <w:t xml:space="preserve">Night legibility. </w:t>
      </w:r>
      <w:r>
        <w:t xml:space="preserve">Generous size and line-height; soft off-white text on warm charcoal, never pure white on pure black (too harsh for the use moment).</w:t>
      </w:r>
    </w:p>
    <w:p>
      <w:pPr>
        <w:pStyle w:val="Heading1"/>
      </w:pPr>
      <w:r>
        <w:t xml:space="preserve">6. Iconography &amp; imagery</w:t>
      </w:r>
    </w:p>
    <w:p>
      <w:pPr>
        <w:pStyle w:val="ListParagraph"/>
        <w:numPr>
          <w:ilvl w:val="0"/>
          <w:numId w:val="2"/>
        </w:numPr>
        <w:spacing w:after="80" w:line="272"/>
      </w:pPr>
      <w:r>
        <w:rPr>
          <w:b/>
          <w:bCs/>
        </w:rPr>
        <w:t xml:space="preserve">Icons. </w:t>
      </w:r>
      <w:r>
        <w:t xml:space="preserve">Simple, low-contrast line icons. Calm, never playful-loud.</w:t>
      </w:r>
    </w:p>
    <w:p>
      <w:pPr>
        <w:pStyle w:val="ListParagraph"/>
        <w:numPr>
          <w:ilvl w:val="0"/>
          <w:numId w:val="2"/>
        </w:numPr>
        <w:spacing w:after="80" w:line="272"/>
      </w:pPr>
      <w:r>
        <w:rPr>
          <w:b/>
          <w:bCs/>
        </w:rPr>
        <w:t xml:space="preserve">Food photography. </w:t>
      </w:r>
      <w:r>
        <w:t xml:space="preserve">The single warm, saturated element. Real and inviting — the ritual needs the food to look good — but shot consistently on neutral backgrounds, soft natural light, no aggressive HDR. Licensed stock, one consistent crop and aspect across the card grid. The chrome does the calming; the food does the satisfying.</w:t>
      </w:r>
    </w:p>
    <w:p>
      <w:pPr>
        <w:pStyle w:val="Heading1"/>
      </w:pPr>
      <w:r>
        <w:t xml:space="preserve">7. Layout &amp; grid</w:t>
      </w:r>
    </w:p>
    <w:p>
      <w:pPr>
        <w:pStyle w:val="ListParagraph"/>
        <w:numPr>
          <w:ilvl w:val="0"/>
          <w:numId w:val="2"/>
        </w:numPr>
        <w:spacing w:after="80" w:line="272"/>
      </w:pPr>
      <w:r>
        <w:rPr>
          <w:b/>
          <w:bCs/>
        </w:rPr>
        <w:t xml:space="preserve">Mobile-first, single column. </w:t>
      </w:r>
      <w:r>
        <w:t xml:space="preserve">8-pt spacing scale, generous whitespace for calm.</w:t>
      </w:r>
    </w:p>
    <w:p>
      <w:pPr>
        <w:pStyle w:val="ListParagraph"/>
        <w:numPr>
          <w:ilvl w:val="0"/>
          <w:numId w:val="2"/>
        </w:numPr>
        <w:spacing w:after="80" w:line="272"/>
      </w:pPr>
      <w:r>
        <w:rPr>
          <w:b/>
          <w:bCs/>
        </w:rPr>
        <w:t xml:space="preserve">Thumb-first. </w:t>
      </w:r>
      <w:r>
        <w:t xml:space="preserve">Used one-handed, in bed, at night — primary actions sit in the lower reachable zone; bottom tab navigation.</w:t>
      </w:r>
    </w:p>
    <w:p>
      <w:pPr>
        <w:pStyle w:val="ListParagraph"/>
        <w:numPr>
          <w:ilvl w:val="0"/>
          <w:numId w:val="2"/>
        </w:numPr>
        <w:spacing w:after="80" w:line="272"/>
      </w:pPr>
      <w:r>
        <w:rPr>
          <w:b/>
          <w:bCs/>
        </w:rPr>
        <w:t xml:space="preserve">Touch targets ≥ 44 px. </w:t>
      </w:r>
    </w:p>
    <w:p>
      <w:pPr>
        <w:pStyle w:val="Heading1"/>
      </w:pPr>
      <w:r>
        <w:t xml:space="preserve">8. Components</w:t>
      </w:r>
    </w:p>
    <w:p>
      <w:pPr>
        <w:spacing w:after="160" w:line="276"/>
      </w:pPr>
      <w:r>
        <w:t xml:space="preserve">The set the sprint needs:</w:t>
      </w:r>
    </w:p>
    <w:p>
      <w:pPr>
        <w:pStyle w:val="ListParagraph"/>
        <w:numPr>
          <w:ilvl w:val="0"/>
          <w:numId w:val="2"/>
        </w:numPr>
        <w:spacing w:after="80" w:line="272"/>
      </w:pPr>
      <w:r>
        <w:t xml:space="preserve">Food card — image-forward, muted label and price</w:t>
      </w:r>
    </w:p>
    <w:p>
      <w:pPr>
        <w:pStyle w:val="ListParagraph"/>
        <w:numPr>
          <w:ilvl w:val="0"/>
          <w:numId w:val="2"/>
        </w:numPr>
        <w:spacing w:after="80" w:line="272"/>
      </w:pPr>
      <w:r>
        <w:t xml:space="preserve">Browse / search header</w:t>
      </w:r>
    </w:p>
    <w:p>
      <w:pPr>
        <w:pStyle w:val="ListParagraph"/>
        <w:numPr>
          <w:ilvl w:val="0"/>
          <w:numId w:val="2"/>
        </w:numPr>
        <w:spacing w:after="80" w:line="272"/>
      </w:pPr>
      <w:r>
        <w:t xml:space="preserve">Cart with line items</w:t>
      </w:r>
    </w:p>
    <w:p>
      <w:pPr>
        <w:pStyle w:val="ListParagraph"/>
        <w:numPr>
          <w:ilvl w:val="0"/>
          <w:numId w:val="2"/>
        </w:numPr>
        <w:spacing w:after="80" w:line="272"/>
      </w:pPr>
      <w:r>
        <w:t xml:space="preserve">Fake-checkout button (“Order nothing”) + the muted “order for real”</w:t>
      </w:r>
    </w:p>
    <w:p>
      <w:pPr>
        <w:pStyle w:val="ListParagraph"/>
        <w:numPr>
          <w:ilvl w:val="0"/>
          <w:numId w:val="2"/>
        </w:numPr>
        <w:spacing w:after="80" w:line="272"/>
      </w:pPr>
      <w:r>
        <w:t xml:space="preserve">Order-tracking screen (hosts the animation)</w:t>
      </w:r>
    </w:p>
    <w:p>
      <w:pPr>
        <w:pStyle w:val="ListParagraph"/>
        <w:numPr>
          <w:ilvl w:val="0"/>
          <w:numId w:val="2"/>
        </w:numPr>
        <w:spacing w:after="80" w:line="272"/>
      </w:pPr>
      <w:r>
        <w:t xml:space="preserve">Night-nudge notification card</w:t>
      </w:r>
    </w:p>
    <w:p>
      <w:pPr>
        <w:pStyle w:val="ListParagraph"/>
        <w:numPr>
          <w:ilvl w:val="0"/>
          <w:numId w:val="2"/>
        </w:numPr>
        <w:spacing w:after="80" w:line="272"/>
      </w:pPr>
      <w:r>
        <w:t xml:space="preserve">Ledger card — money kept + nothing-ordered count</w:t>
      </w:r>
    </w:p>
    <w:p>
      <w:pPr>
        <w:pStyle w:val="ListParagraph"/>
        <w:numPr>
          <w:ilvl w:val="0"/>
          <w:numId w:val="2"/>
        </w:numPr>
        <w:spacing w:after="80" w:line="272"/>
      </w:pPr>
      <w:r>
        <w:t xml:space="preserve">Onboarding screens</w:t>
      </w:r>
    </w:p>
    <w:p>
      <w:pPr>
        <w:pStyle w:val="Heading1"/>
      </w:pPr>
      <w:r>
        <w:t xml:space="preserve">9. Motion &amp; interaction</w:t>
      </w:r>
    </w:p>
    <w:p>
      <w:pPr>
        <w:pStyle w:val="ListParagraph"/>
        <w:numPr>
          <w:ilvl w:val="0"/>
          <w:numId w:val="2"/>
        </w:numPr>
        <w:spacing w:after="80" w:line="272"/>
      </w:pPr>
      <w:r>
        <w:rPr>
          <w:b/>
          <w:bCs/>
        </w:rPr>
        <w:t xml:space="preserve">Principle: motion that exhales. </w:t>
      </w:r>
      <w:r>
        <w:t xml:space="preserve">Slow, soft easing. Nothing snappy or rewarding-in-a-dopamine-way — the calm is the point.</w:t>
      </w:r>
    </w:p>
    <w:p>
      <w:pPr>
        <w:pStyle w:val="ListParagraph"/>
        <w:numPr>
          <w:ilvl w:val="0"/>
          <w:numId w:val="2"/>
        </w:numPr>
        <w:spacing w:after="80" w:line="272"/>
      </w:pPr>
      <w:r>
        <w:rPr>
          <w:b/>
          <w:bCs/>
        </w:rPr>
        <w:t xml:space="preserve">Tracking. </w:t>
      </w:r>
      <w:r>
        <w:t xml:space="preserve">An unhurried courier/progress animation; anticipation without urgency.</w:t>
      </w:r>
    </w:p>
    <w:p>
      <w:pPr>
        <w:pStyle w:val="ListParagraph"/>
        <w:numPr>
          <w:ilvl w:val="0"/>
          <w:numId w:val="2"/>
        </w:numPr>
        <w:spacing w:after="80" w:line="272"/>
      </w:pPr>
      <w:r>
        <w:rPr>
          <w:b/>
          <w:bCs/>
        </w:rPr>
        <w:t xml:space="preserve">Micro-interactions. </w:t>
      </w:r>
      <w:r>
        <w:t xml:space="preserve">Add-to-cart and button presses are subtle and quiet.</w:t>
      </w:r>
    </w:p>
    <w:p>
      <w:pPr>
        <w:pStyle w:val="Heading1"/>
      </w:pPr>
      <w:r>
        <w:t xml:space="preserve">10. The “let it go” moment</w:t>
      </w:r>
    </w:p>
    <w:p>
      <w:pPr>
        <w:spacing w:after="160" w:line="276"/>
      </w:pPr>
      <w:r>
        <w:t xml:space="preserve">The spine of the experience, and the most important screen to get right. As the “order” reaches delivery, no food arrives. The courier reaches you, the bag is empty, and Nil lands one dry, warm line acknowledging exactly what just happened, while the money-kept total ticks softly upward.</w:t>
      </w:r>
    </w:p>
    <w:p>
      <w:pPr>
        <w:spacing w:after="160" w:line="276"/>
      </w:pPr>
      <w:r>
        <w:rPr>
          <w:b/>
          <w:bCs/>
        </w:rPr>
        <w:t xml:space="preserve">The emotional arc: </w:t>
      </w:r>
      <w:r>
        <w:t xml:space="preserve">anticipation → a gentle anticlimax → a knowing half-smile → calm, plus a small, quiet sense of agency — </w:t>
      </w:r>
      <w:r>
        <w:rPr>
          <w:i/>
          <w:iCs/>
        </w:rPr>
        <w:t xml:space="preserve">I had it, I let it go, and I’m fine.</w:t>
      </w:r>
    </w:p>
    <w:p>
      <w:pPr>
        <w:spacing w:after="160" w:line="276"/>
      </w:pPr>
      <w:r>
        <w:rPr>
          <w:b/>
          <w:bCs/>
        </w:rPr>
        <w:t xml:space="preserve">Tone guardrails for this moment (non-negotiable): </w:t>
      </w:r>
      <w:r>
        <w:t xml:space="preserve">never congratulatory about not eating, never about willpower or restriction. The payoff is the completed ritual and the money kept — framed as a shared joke, not an achievement of denial. This single screen is where the product is most capable of doing harm, so the framing matters more here than anywhere else.</w:t>
      </w:r>
    </w:p>
    <w:p>
      <w:pPr>
        <w:pStyle w:val="Heading1"/>
      </w:pPr>
      <w:r>
        <w:t xml:space="preserve">11. Accessibility</w:t>
      </w:r>
    </w:p>
    <w:p>
      <w:pPr>
        <w:pStyle w:val="ListParagraph"/>
        <w:numPr>
          <w:ilvl w:val="0"/>
          <w:numId w:val="2"/>
        </w:numPr>
        <w:spacing w:after="80" w:line="272"/>
      </w:pPr>
      <w:r>
        <w:rPr>
          <w:b/>
          <w:bCs/>
        </w:rPr>
        <w:t xml:space="preserve">Contrast. </w:t>
      </w:r>
      <w:r>
        <w:t xml:space="preserve">Muted must not mean illegible — hold to WCAG AA text contrast even within the calm palette.</w:t>
      </w:r>
    </w:p>
    <w:p>
      <w:pPr>
        <w:pStyle w:val="ListParagraph"/>
        <w:numPr>
          <w:ilvl w:val="0"/>
          <w:numId w:val="2"/>
        </w:numPr>
        <w:spacing w:after="80" w:line="272"/>
      </w:pPr>
      <w:r>
        <w:rPr>
          <w:b/>
          <w:bCs/>
        </w:rPr>
        <w:t xml:space="preserve">Reduced motion. </w:t>
      </w:r>
      <w:r>
        <w:t xml:space="preserve">The exhaling animations have a static fallback for users who request it.</w:t>
      </w:r>
    </w:p>
    <w:p>
      <w:pPr>
        <w:pStyle w:val="ListParagraph"/>
        <w:numPr>
          <w:ilvl w:val="0"/>
          <w:numId w:val="2"/>
        </w:numPr>
        <w:spacing w:after="80" w:line="272"/>
      </w:pPr>
      <w:r>
        <w:rPr>
          <w:b/>
          <w:bCs/>
        </w:rPr>
        <w:t xml:space="preserve">Touch &amp; reinforcement. </w:t>
      </w:r>
      <w:r>
        <w:t xml:space="preserve">Targets ≥ 44 px; and the no-body-metrics rule restated as an accessibility-of-mind concern, not just visual.</w:t>
      </w:r>
    </w:p>
    <w:p>
      <w:pPr>
        <w:pStyle w:val="Heading1"/>
      </w:pPr>
      <w:r>
        <w:t xml:space="preserve">12. Handoff note</w:t>
      </w:r>
    </w:p>
    <w:p>
      <w:pPr>
        <w:spacing w:after="160" w:line="276"/>
      </w:pPr>
      <w:r>
        <w:t xml:space="preserve">This doc defines the </w:t>
      </w:r>
      <w:r>
        <w:rPr>
          <w:i/>
          <w:iCs/>
        </w:rPr>
        <w:t xml:space="preserve">language</w:t>
      </w:r>
      <w:r>
        <w:t xml:space="preserve">. Exact tokens, component props, and states go to a separate developer-handoff doc, which references this one.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Nil · Design Language ·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4532A" w:sz="6" w:space="4"/>
      </w:pBdr>
      <w:spacing w:after="140" w:before="300"/>
      <w:outlineLvl w:val="0"/>
    </w:pPr>
    <w:rPr>
      <w:rFonts w:ascii="Arial" w:cs="Arial" w:eastAsia="Arial" w:hAnsi="Arial"/>
      <w:b/>
      <w:bCs/>
      <w:color w:val="1F2A44"/>
      <w:sz w:val="27"/>
      <w:szCs w:val="27"/>
    </w:rPr>
  </w:style>
  <w:style w:type="paragraph" w:styleId="Heading2">
    <w:name w:val="Heading 2"/>
    <w:basedOn w:val="Normal"/>
    <w:next w:val="Normal"/>
    <w:qFormat/>
    <w:pPr>
      <w:spacing w:after="90" w:before="180"/>
      <w:outlineLvl w:val="1"/>
    </w:pPr>
    <w:rPr>
      <w:rFonts w:ascii="Arial" w:cs="Arial" w:eastAsia="Arial" w:hAnsi="Arial"/>
      <w:b/>
      <w:bCs/>
      <w:color w:val="B453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Nil — Design Language (Sprint v1)</dc:title>
  <dc:creator>Mohan</dc:creator>
  <cp:lastModifiedBy>Un-named</cp:lastModifiedBy>
  <cp:revision>1</cp:revision>
  <dcterms:created xsi:type="dcterms:W3CDTF">2026-06-10T10:10:55.235Z</dcterms:created>
  <dcterms:modified xsi:type="dcterms:W3CDTF">2026-06-10T10:10:55.235Z</dcterms:modified>
</cp:coreProperties>
</file>

<file path=docProps/custom.xml><?xml version="1.0" encoding="utf-8"?>
<Properties xmlns="http://schemas.openxmlformats.org/officeDocument/2006/custom-properties" xmlns:vt="http://schemas.openxmlformats.org/officeDocument/2006/docPropsVTypes"/>
</file>