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ormorantGaramond-bold.ttf" ContentType="application/x-font-ttf"/>
  <Override PartName="/word/fonts/CormorantGaramond-boldItalic.ttf" ContentType="application/x-font-ttf"/>
  <Override PartName="/word/fonts/CormorantGaramond-italic.ttf" ContentType="application/x-font-ttf"/>
  <Override PartName="/word/fonts/CormorantGaramond-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30" w:before="60" w:lineRule="auto"/>
        <w:rPr/>
      </w:pPr>
      <w:r w:rsidDel="00000000" w:rsidR="00000000" w:rsidRPr="00000000">
        <w:rPr>
          <w:rFonts w:ascii="Garamond" w:cs="Garamond" w:eastAsia="Garamond" w:hAnsi="Garamond"/>
          <w:b w:val="1"/>
          <w:bCs w:val="1"/>
          <w:color w:val="012641"/>
          <w:sz w:val="36"/>
          <w:szCs w:val="36"/>
          <w:rtl w:val="0"/>
        </w:rPr>
        <w:t xml:space="preserve">Africa AI Safety Prize Competition 2026</w:t>
      </w:r>
      <w:r w:rsidDel="00000000" w:rsidR="00000000" w:rsidRPr="00000000">
        <w:rPr>
          <w:rtl w:val="0"/>
        </w:rPr>
      </w:r>
    </w:p>
    <w:p w:rsidR="00000000" w:rsidDel="00000000" w:rsidP="00000000" w:rsidRDefault="00000000" w:rsidRPr="00000000" w14:paraId="00000002">
      <w:pPr>
        <w:spacing w:after="20" w:before="0" w:lineRule="auto"/>
        <w:rPr/>
      </w:pPr>
      <w:r w:rsidDel="00000000" w:rsidR="00000000" w:rsidRPr="00000000">
        <w:rPr>
          <w:b w:val="1"/>
          <w:bCs w:val="1"/>
          <w:color w:val="eebd61"/>
          <w:sz w:val="28"/>
          <w:szCs w:val="28"/>
          <w:rtl w:val="0"/>
        </w:rPr>
        <w:t xml:space="preserve">Final</w:t>
      </w:r>
      <w:r w:rsidDel="00000000" w:rsidR="00000000" w:rsidRPr="00000000">
        <w:rPr>
          <w:rFonts w:ascii="Garamond" w:cs="Garamond" w:eastAsia="Garamond" w:hAnsi="Garamond"/>
          <w:b w:val="1"/>
          <w:bCs w:val="1"/>
          <w:color w:val="eebd61"/>
          <w:sz w:val="28"/>
          <w:szCs w:val="28"/>
          <w:rtl w:val="0"/>
        </w:rPr>
        <w:t xml:space="preserve"> Submission </w:t>
      </w:r>
      <w:r w:rsidDel="00000000" w:rsidR="00000000" w:rsidRPr="00000000">
        <w:rPr>
          <w:b w:val="1"/>
          <w:bCs w:val="1"/>
          <w:color w:val="eebd61"/>
          <w:sz w:val="28"/>
          <w:szCs w:val="28"/>
          <w:rtl w:val="0"/>
        </w:rPr>
        <w:t xml:space="preserve">Template</w:t>
      </w:r>
      <w:r w:rsidDel="00000000" w:rsidR="00000000" w:rsidRPr="00000000">
        <w:rPr>
          <w:rtl w:val="0"/>
        </w:rPr>
      </w:r>
    </w:p>
    <w:p w:rsidR="00000000" w:rsidDel="00000000" w:rsidP="00000000" w:rsidRDefault="00000000" w:rsidRPr="00000000" w14:paraId="00000003">
      <w:pPr>
        <w:pBdr>
          <w:bottom w:color="eebd61" w:space="4" w:sz="4" w:val="single"/>
        </w:pBdr>
        <w:spacing w:after="0" w:before="0" w:lineRule="auto"/>
        <w:rPr/>
      </w:pPr>
      <w:r w:rsidDel="00000000" w:rsidR="00000000" w:rsidRPr="00000000">
        <w:rPr>
          <w:rFonts w:ascii="Garamond" w:cs="Garamond" w:eastAsia="Garamond" w:hAnsi="Garamond"/>
          <w:color w:val="888888"/>
          <w:sz w:val="18"/>
          <w:szCs w:val="18"/>
          <w:rtl w:val="0"/>
        </w:rPr>
        <w:t xml:space="preserve">Deadline: 30 June 2026 (anywhere on Earth) | Su</w:t>
      </w:r>
      <w:r w:rsidDel="00000000" w:rsidR="00000000" w:rsidRPr="00000000">
        <w:rPr>
          <w:color w:val="888888"/>
          <w:sz w:val="18"/>
          <w:szCs w:val="18"/>
          <w:rtl w:val="0"/>
        </w:rPr>
        <w:t xml:space="preserve">bmit here: </w:t>
      </w:r>
      <w:hyperlink r:id="rId7">
        <w:r w:rsidDel="00000000" w:rsidR="00000000" w:rsidRPr="00000000">
          <w:rPr>
            <w:color w:val="1155cc"/>
            <w:sz w:val="18"/>
            <w:szCs w:val="18"/>
            <w:u w:val="single"/>
            <w:rtl w:val="0"/>
          </w:rPr>
          <w:t xml:space="preserve">https://airtable.com/appMRSkUl5CGGAMYB/shrOkxpcdLNH4lMlU</w:t>
        </w:r>
      </w:hyperlink>
      <w:r w:rsidDel="00000000" w:rsidR="00000000" w:rsidRPr="00000000">
        <w:rPr>
          <w:color w:val="888888"/>
          <w:sz w:val="18"/>
          <w:szCs w:val="18"/>
          <w:rtl w:val="0"/>
        </w:rPr>
        <w:t xml:space="preserve"> </w:t>
      </w:r>
      <w:r w:rsidDel="00000000" w:rsidR="00000000" w:rsidRPr="00000000">
        <w:rPr>
          <w:rtl w:val="0"/>
        </w:rPr>
      </w:r>
    </w:p>
    <w:p w:rsidR="00000000" w:rsidDel="00000000" w:rsidP="00000000" w:rsidRDefault="00000000" w:rsidRPr="00000000" w14:paraId="00000004">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ebd61" w:space="0" w:sz="4" w:val="single"/>
              <w:left w:color="eebd61" w:space="0" w:sz="8" w:val="single"/>
              <w:bottom w:color="eebd61" w:space="0" w:sz="4" w:val="single"/>
              <w:right w:color="eebd61" w:space="0" w:sz="4" w:val="single"/>
            </w:tcBorders>
            <w:shd w:fill="fef9ec" w:val="clear"/>
            <w:tcMar>
              <w:top w:w="100.0" w:type="dxa"/>
              <w:left w:w="200.0" w:type="dxa"/>
              <w:bottom w:w="100.0" w:type="dxa"/>
              <w:right w:w="160.0" w:type="dxa"/>
            </w:tcMar>
          </w:tcPr>
          <w:p w:rsidR="00000000" w:rsidDel="00000000" w:rsidP="00000000" w:rsidRDefault="00000000" w:rsidRPr="00000000" w14:paraId="00000005">
            <w:pPr>
              <w:rPr>
                <w:b w:val="1"/>
                <w:bCs w:val="1"/>
                <w:color w:val="012641"/>
              </w:rPr>
            </w:pPr>
            <w:r w:rsidDel="00000000" w:rsidR="00000000" w:rsidRPr="00000000">
              <w:rPr>
                <w:b w:val="1"/>
                <w:bCs w:val="1"/>
                <w:color w:val="012641"/>
                <w:rtl w:val="0"/>
              </w:rPr>
              <w:t xml:space="preserve">Instructions</w:t>
            </w:r>
          </w:p>
          <w:p w:rsidR="00000000" w:rsidDel="00000000" w:rsidP="00000000" w:rsidRDefault="00000000" w:rsidRPr="00000000" w14:paraId="00000006">
            <w:pPr>
              <w:numPr>
                <w:ilvl w:val="0"/>
                <w:numId w:val="5"/>
              </w:numPr>
              <w:ind w:left="480" w:hanging="240"/>
              <w:rPr>
                <w:color w:val="012641"/>
              </w:rPr>
            </w:pPr>
            <w:r w:rsidDel="00000000" w:rsidR="00000000" w:rsidRPr="00000000">
              <w:rPr>
                <w:color w:val="012641"/>
                <w:rtl w:val="0"/>
              </w:rPr>
              <w:t xml:space="preserve">Make a copy of this empty template by </w:t>
            </w:r>
            <w:r w:rsidDel="00000000" w:rsidR="00000000" w:rsidRPr="00000000">
              <w:rPr>
                <w:b w:val="1"/>
                <w:bCs w:val="1"/>
                <w:i w:val="1"/>
                <w:iCs w:val="1"/>
                <w:color w:val="012641"/>
                <w:rtl w:val="0"/>
              </w:rPr>
              <w:t xml:space="preserve">selecting File &gt; Make a copy.</w:t>
            </w:r>
            <w:r w:rsidDel="00000000" w:rsidR="00000000" w:rsidRPr="00000000">
              <w:rPr>
                <w:color w:val="012641"/>
                <w:rtl w:val="0"/>
              </w:rPr>
              <w:t xml:space="preserve"> </w:t>
            </w:r>
          </w:p>
          <w:p w:rsidR="00000000" w:rsidDel="00000000" w:rsidP="00000000" w:rsidRDefault="00000000" w:rsidRPr="00000000" w14:paraId="00000007">
            <w:pPr>
              <w:numPr>
                <w:ilvl w:val="0"/>
                <w:numId w:val="5"/>
              </w:numPr>
              <w:ind w:left="480" w:hanging="240"/>
              <w:rPr>
                <w:color w:val="012641"/>
              </w:rPr>
            </w:pPr>
            <w:r w:rsidDel="00000000" w:rsidR="00000000" w:rsidRPr="00000000">
              <w:rPr>
                <w:color w:val="012641"/>
                <w:rtl w:val="0"/>
              </w:rPr>
              <w:t xml:space="preserve">Complete this template and export it as a PDF before submitting.</w:t>
            </w:r>
          </w:p>
          <w:p w:rsidR="00000000" w:rsidDel="00000000" w:rsidP="00000000" w:rsidRDefault="00000000" w:rsidRPr="00000000" w14:paraId="00000008">
            <w:pPr>
              <w:numPr>
                <w:ilvl w:val="0"/>
                <w:numId w:val="5"/>
              </w:numPr>
              <w:ind w:left="480" w:hanging="240"/>
              <w:rPr>
                <w:color w:val="012641"/>
              </w:rPr>
            </w:pPr>
            <w:r w:rsidDel="00000000" w:rsidR="00000000" w:rsidRPr="00000000">
              <w:rPr>
                <w:b w:val="1"/>
                <w:bCs w:val="1"/>
                <w:color w:val="012641"/>
                <w:rtl w:val="0"/>
              </w:rPr>
              <w:t xml:space="preserve">Do not include any personal information in this template</w:t>
            </w:r>
            <w:r w:rsidDel="00000000" w:rsidR="00000000" w:rsidRPr="00000000">
              <w:rPr>
                <w:color w:val="012641"/>
                <w:rtl w:val="0"/>
              </w:rPr>
              <w:t xml:space="preserve"> to allow for blinded evaluation.</w:t>
            </w:r>
          </w:p>
          <w:p w:rsidR="00000000" w:rsidDel="00000000" w:rsidP="00000000" w:rsidRDefault="00000000" w:rsidRPr="00000000" w14:paraId="00000009">
            <w:pPr>
              <w:numPr>
                <w:ilvl w:val="0"/>
                <w:numId w:val="5"/>
              </w:numPr>
              <w:ind w:left="480" w:hanging="240"/>
              <w:rPr>
                <w:color w:val="012641"/>
              </w:rPr>
            </w:pPr>
            <w:r w:rsidDel="00000000" w:rsidR="00000000" w:rsidRPr="00000000">
              <w:rPr>
                <w:color w:val="012641"/>
                <w:rtl w:val="0"/>
              </w:rPr>
              <w:t xml:space="preserve">Make sure the judges have all the information to evaluate your submission against the </w:t>
            </w:r>
            <w:hyperlink r:id="rId8">
              <w:r w:rsidDel="00000000" w:rsidR="00000000" w:rsidRPr="00000000">
                <w:rPr>
                  <w:color w:val="1155cc"/>
                  <w:u w:val="single"/>
                  <w:rtl w:val="0"/>
                </w:rPr>
                <w:t xml:space="preserve">evaluation criteria</w:t>
              </w:r>
            </w:hyperlink>
            <w:r w:rsidDel="00000000" w:rsidR="00000000" w:rsidRPr="00000000">
              <w:rPr>
                <w:color w:val="012641"/>
                <w:rtl w:val="0"/>
              </w:rPr>
              <w:t xml:space="preserve">.</w:t>
            </w:r>
          </w:p>
          <w:p w:rsidR="00000000" w:rsidDel="00000000" w:rsidP="00000000" w:rsidRDefault="00000000" w:rsidRPr="00000000" w14:paraId="0000000A">
            <w:pPr>
              <w:numPr>
                <w:ilvl w:val="0"/>
                <w:numId w:val="5"/>
              </w:numPr>
              <w:ind w:left="480" w:hanging="240"/>
              <w:rPr>
                <w:color w:val="012641"/>
              </w:rPr>
            </w:pPr>
            <w:r w:rsidDel="00000000" w:rsidR="00000000" w:rsidRPr="00000000">
              <w:rPr>
                <w:color w:val="012641"/>
                <w:rtl w:val="0"/>
              </w:rPr>
              <w:t xml:space="preserve">Submit your completed PDF template alongside your </w:t>
            </w:r>
            <w:hyperlink r:id="rId9">
              <w:r w:rsidDel="00000000" w:rsidR="00000000" w:rsidRPr="00000000">
                <w:rPr>
                  <w:color w:val="1155cc"/>
                  <w:u w:val="single"/>
                  <w:rtl w:val="0"/>
                </w:rPr>
                <w:t xml:space="preserve">application form</w:t>
              </w:r>
            </w:hyperlink>
            <w:r w:rsidDel="00000000" w:rsidR="00000000" w:rsidRPr="00000000">
              <w:rPr>
                <w:color w:val="012641"/>
                <w:rtl w:val="0"/>
              </w:rPr>
              <w:t xml:space="preserve"> by 30th June 2026.</w:t>
            </w:r>
          </w:p>
          <w:p w:rsidR="00000000" w:rsidDel="00000000" w:rsidP="00000000" w:rsidRDefault="00000000" w:rsidRPr="00000000" w14:paraId="0000000B">
            <w:pPr>
              <w:numPr>
                <w:ilvl w:val="0"/>
                <w:numId w:val="5"/>
              </w:numPr>
              <w:ind w:left="480" w:hanging="240"/>
              <w:rPr>
                <w:color w:val="012641"/>
              </w:rPr>
            </w:pPr>
            <w:r w:rsidDel="00000000" w:rsidR="00000000" w:rsidRPr="00000000">
              <w:rPr>
                <w:color w:val="012641"/>
                <w:rtl w:val="0"/>
              </w:rPr>
              <w:t xml:space="preserve">Questions? Contact us at </w:t>
            </w:r>
            <w:hyperlink r:id="rId10">
              <w:r w:rsidDel="00000000" w:rsidR="00000000" w:rsidRPr="00000000">
                <w:rPr>
                  <w:color w:val="1155cc"/>
                  <w:u w:val="single"/>
                  <w:rtl w:val="0"/>
                </w:rPr>
                <w:t xml:space="preserve">info@casa-ai.org</w:t>
              </w:r>
            </w:hyperlink>
            <w:r w:rsidDel="00000000" w:rsidR="00000000" w:rsidRPr="00000000">
              <w:rPr>
                <w:color w:val="012641"/>
                <w:rtl w:val="0"/>
              </w:rPr>
              <w:t xml:space="preserve">.</w:t>
            </w:r>
            <w:r w:rsidDel="00000000" w:rsidR="00000000" w:rsidRPr="00000000">
              <w:rPr>
                <w:rtl w:val="0"/>
              </w:rPr>
            </w:r>
          </w:p>
        </w:tc>
      </w:tr>
    </w:tbl>
    <w:p w:rsidR="00000000" w:rsidDel="00000000" w:rsidP="00000000" w:rsidRDefault="00000000" w:rsidRPr="00000000" w14:paraId="0000000C">
      <w:pPr>
        <w:spacing w:after="200" w:lineRule="auto"/>
        <w:rPr>
          <w:rFonts w:ascii="Cormorant Garamond" w:cs="Cormorant Garamond" w:eastAsia="Cormorant Garamond" w:hAnsi="Cormorant Garamond"/>
          <w:color w:val="000000"/>
          <w:sz w:val="22"/>
          <w:szCs w:val="22"/>
        </w:rPr>
      </w:pPr>
      <w:r w:rsidDel="00000000" w:rsidR="00000000" w:rsidRPr="00000000">
        <w:rPr>
          <w:rtl w:val="0"/>
        </w:rPr>
      </w:r>
    </w:p>
    <w:tbl>
      <w:tblPr>
        <w:tblStyle w:val="Table2"/>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7650"/>
        <w:tblGridChange w:id="0">
          <w:tblGrid>
            <w:gridCol w:w="2085"/>
            <w:gridCol w:w="76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12641" w:val="clear"/>
            <w:tcMar>
              <w:top w:w="100.0" w:type="dxa"/>
              <w:left w:w="200.0" w:type="dxa"/>
              <w:bottom w:w="100.0" w:type="dxa"/>
              <w:right w:w="200.0" w:type="dxa"/>
            </w:tcMar>
          </w:tcPr>
          <w:p w:rsidR="00000000" w:rsidDel="00000000" w:rsidP="00000000" w:rsidRDefault="00000000" w:rsidRPr="00000000" w14:paraId="0000000D">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eebd61"/>
                <w:sz w:val="22"/>
                <w:szCs w:val="22"/>
                <w:rtl w:val="0"/>
              </w:rPr>
              <w:t xml:space="preserve">SUBMISSION DETAILS</w:t>
            </w:r>
            <w:r w:rsidDel="00000000" w:rsidR="00000000" w:rsidRPr="00000000">
              <w:rPr>
                <w:rtl w:val="0"/>
              </w:rPr>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0E">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Project title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pPr>
              <w:spacing w:after="80"/>
            </w:pPr>
            <w:r>
              <w:t>Kámárí and Kámárí-Safe Open</w:t>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0">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Challenge Track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pPr>
              <w:spacing w:after="80"/>
            </w:pPr>
            <w:r>
              <w:rPr>
                <w:color w:val="1A1A1A"/>
                <w:sz w:val="21"/>
              </w:rPr>
              <w:t>Track II: Context-Appropriate AI Safety Evaluation for African Deployment</w:t>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2">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Deliverable type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pPr>
              <w:spacing w:after="80"/>
            </w:pPr>
            <w:r>
              <w:t>Open safety benchmark and dataset registry, trained model artifacts, model cards, methodology, web/PWA/Android app, and FastAPI reference API.</w:t>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4">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Current state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pPr>
              <w:spacing w:after="80"/>
            </w:pPr>
            <w:r>
              <w:t>Working prototype with public app/API, reproducible benchmark artifacts, trained v0 models, and documented self-hosting path.</w:t>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6">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Licence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pPr>
              <w:spacing w:after="80"/>
            </w:pPr>
            <w:r>
              <w:rPr>
                <w:color w:val="1A1A1A"/>
                <w:sz w:val="21"/>
              </w:rPr>
              <w:t>Apache-2.0</w:t>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8">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Hosting / access link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pPr>
              <w:spacing w:after="80"/>
            </w:pPr>
            <w:r>
              <w:rPr>
                <w:color w:val="1A1A1A"/>
                <w:sz w:val="21"/>
              </w:rPr>
              <w:t>Web app: https://kamari.shinzii.tech</w:t>
            </w:r>
          </w:p>
          <w:p>
            <w:pPr>
              <w:spacing w:after="80"/>
            </w:pPr>
            <w:r>
              <w:rPr>
                <w:color w:val="1A1A1A"/>
                <w:sz w:val="21"/>
              </w:rPr>
              <w:t>API: https://kamari-api.shinzii.tech</w:t>
            </w:r>
          </w:p>
          <w:p>
            <w:pPr>
              <w:spacing w:after="80"/>
            </w:pPr>
            <w:r>
              <w:rPr>
                <w:color w:val="1A1A1A"/>
                <w:sz w:val="21"/>
              </w:rPr>
              <w:t>Code: https://github.com/Mystique1337/kamari</w:t>
            </w:r>
          </w:p>
          <w:p>
            <w:pPr>
              <w:spacing w:after="80"/>
            </w:pPr>
            <w:r>
              <w:rPr>
                <w:color w:val="1A1A1A"/>
                <w:sz w:val="21"/>
              </w:rPr>
              <w:t>Benchmark and models (Hugging Face): https://huggingface.co/Shinzmann</w:t>
            </w:r>
          </w:p>
        </w:tc>
      </w:tr>
      <w:tr>
        <w:trPr>
          <w:cantSplit w:val="0"/>
          <w:trHeight w:val="480" w:hRule="atLeast"/>
          <w:tblHeader w:val="0"/>
        </w:trPr>
        <w:tc>
          <w:tcPr>
            <w:tcBorders>
              <w:top w:color="e0e0e0" w:space="0" w:sz="4" w:val="single"/>
              <w:left w:color="e0e0e0" w:space="0" w:sz="4" w:val="single"/>
              <w:bottom w:color="e0e0e0" w:space="0" w:sz="4" w:val="single"/>
              <w:right w:color="e0e0e0" w:space="0" w:sz="4" w:val="single"/>
            </w:tcBorders>
            <w:shd w:fill="012641" w:val="clear"/>
            <w:tcMar>
              <w:top w:w="80.0" w:type="dxa"/>
              <w:left w:w="160.0" w:type="dxa"/>
              <w:bottom w:w="80.0" w:type="dxa"/>
              <w:right w:w="160.0" w:type="dxa"/>
            </w:tcMar>
            <w:vAlign w:val="center"/>
          </w:tcPr>
          <w:p w:rsidR="00000000" w:rsidDel="00000000" w:rsidP="00000000" w:rsidRDefault="00000000" w:rsidRPr="00000000" w14:paraId="0000001A">
            <w:pPr>
              <w:rPr>
                <w:rFonts w:ascii="Cormorant Garamond" w:cs="Cormorant Garamond" w:eastAsia="Cormorant Garamond" w:hAnsi="Cormorant Garamond"/>
                <w:color w:val="000000"/>
                <w:sz w:val="22"/>
                <w:szCs w:val="22"/>
              </w:rPr>
            </w:pPr>
            <w:r w:rsidDel="00000000" w:rsidR="00000000" w:rsidRPr="00000000">
              <w:rPr>
                <w:rFonts w:ascii="Cormorant Garamond" w:cs="Cormorant Garamond" w:eastAsia="Cormorant Garamond" w:hAnsi="Cormorant Garamond"/>
                <w:b w:val="1"/>
                <w:bCs w:val="1"/>
                <w:color w:val="ffffff"/>
                <w:rtl w:val="0"/>
              </w:rPr>
              <w:t xml:space="preserve">Open source?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80.0" w:type="dxa"/>
              <w:left w:w="160.0" w:type="dxa"/>
              <w:bottom w:w="80.0" w:type="dxa"/>
              <w:right w:w="160.0" w:type="dxa"/>
            </w:tcMar>
          </w:tcPr>
          <w:p>
            <w:pPr>
              <w:spacing w:after="80"/>
            </w:pPr>
            <w:r>
              <w:t>Yes. Code is Apache-2.0; dataset and benchmark use are governed by source dataset licences.</w:t>
            </w:r>
          </w:p>
        </w:tc>
      </w:tr>
    </w:tbl>
    <w:p w:rsidR="00000000" w:rsidDel="00000000" w:rsidP="00000000" w:rsidRDefault="00000000" w:rsidRPr="00000000" w14:paraId="0000001C">
      <w:pPr>
        <w:spacing w:before="120" w:lineRule="auto"/>
        <w:rPr/>
      </w:pPr>
      <w:r w:rsidDel="00000000" w:rsidR="00000000" w:rsidRPr="00000000">
        <w:rPr>
          <w:rtl w:val="0"/>
        </w:rPr>
      </w:r>
    </w:p>
    <w:p w:rsidR="00000000" w:rsidDel="00000000" w:rsidP="00000000" w:rsidRDefault="00000000" w:rsidRPr="00000000" w14:paraId="0000001D">
      <w:pPr>
        <w:spacing w:before="120" w:lineRule="auto"/>
        <w:rPr/>
      </w:pP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1E">
            <w:pPr>
              <w:rPr>
                <w:b w:val="1"/>
                <w:bCs w:val="1"/>
                <w:color w:val="eebd61"/>
              </w:rPr>
            </w:pPr>
            <w:r w:rsidDel="00000000" w:rsidR="00000000" w:rsidRPr="00000000">
              <w:rPr>
                <w:b w:val="1"/>
                <w:bCs w:val="1"/>
                <w:color w:val="ffffff"/>
                <w:rtl w:val="0"/>
              </w:rPr>
              <w:t xml:space="preserve">A SNAPSHOT  </w:t>
            </w:r>
            <w:r w:rsidDel="00000000" w:rsidR="00000000" w:rsidRPr="00000000">
              <w:rPr>
                <w:b w:val="1"/>
                <w:bCs w:val="1"/>
                <w:color w:val="eebd61"/>
                <w:rtl w:val="0"/>
              </w:rPr>
              <w:t xml:space="preserve">| 100 words max</w:t>
            </w:r>
            <w:r w:rsidDel="00000000" w:rsidR="00000000" w:rsidRPr="00000000">
              <w:rPr>
                <w:rtl w:val="0"/>
              </w:rPr>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pPr>
              <w:spacing w:after="80"/>
            </w:pPr>
            <w:r>
              <w:t>Kámárí-Safe is an open benchmark for African-context face age assurance, paired with a live reference system. Age gates for betting, alcohol delivery, and adult content increasingly use face age estimation, but public tests usually report average accuracy on Western-heavy data, not the safety failure that matters: minors accepted as adults. Kámárí-Safe measures Minor-Pass-Through Rate on 8,322 leakage-free held-out faces, sliced by ITA skin-tone bands, and tests multilingual decision messages. The v0 model reaches 6.03-year MAE but still passes 31.7% of minors, exposing a harm standard accuracy hides.</w:t>
            </w:r>
          </w:p>
        </w:tc>
      </w:tr>
    </w:tbl>
    <w:p w:rsidR="00000000" w:rsidDel="00000000" w:rsidP="00000000" w:rsidRDefault="00000000" w:rsidRPr="00000000" w14:paraId="00000022">
      <w:pPr>
        <w:spacing w:before="120" w:lineRule="auto"/>
        <w:rPr>
          <w:rFonts w:ascii="Times New Roman" w:cs="Times New Roman" w:eastAsia="Times New Roman" w:hAnsi="Times New Roman"/>
          <w:color w:val="eebd61"/>
          <w:sz w:val="21"/>
          <w:szCs w:val="21"/>
        </w:rPr>
      </w:pPr>
      <w:r w:rsidDel="00000000" w:rsidR="00000000" w:rsidRPr="00000000">
        <w:rPr>
          <w:rtl w:val="0"/>
        </w:rPr>
      </w:r>
    </w:p>
    <w:p w:rsidR="00000000" w:rsidDel="00000000" w:rsidP="00000000" w:rsidRDefault="00000000" w:rsidRPr="00000000" w14:paraId="00000023">
      <w:pPr>
        <w:spacing w:after="60" w:before="30" w:lineRule="auto"/>
        <w:rPr>
          <w:rFonts w:ascii="Times New Roman" w:cs="Times New Roman" w:eastAsia="Times New Roman" w:hAnsi="Times New Roman"/>
          <w:color w:val="eebd61"/>
          <w:sz w:val="21"/>
          <w:szCs w:val="21"/>
        </w:rPr>
      </w:pP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24">
            <w:pPr>
              <w:rPr>
                <w:b w:val="1"/>
                <w:bCs w:val="1"/>
                <w:color w:val="eebd61"/>
              </w:rPr>
            </w:pPr>
            <w:r w:rsidDel="00000000" w:rsidR="00000000" w:rsidRPr="00000000">
              <w:rPr>
                <w:b w:val="1"/>
                <w:bCs w:val="1"/>
                <w:color w:val="ffffff"/>
                <w:rtl w:val="0"/>
              </w:rPr>
              <w:t xml:space="preserve">TRACTABILITY OF PROBLEM ADDRESSED </w:t>
            </w:r>
            <w:r w:rsidDel="00000000" w:rsidR="00000000" w:rsidRPr="00000000">
              <w:rPr>
                <w:b w:val="1"/>
                <w:bCs w:val="1"/>
                <w:color w:val="eebd61"/>
                <w:rtl w:val="0"/>
              </w:rPr>
              <w:t xml:space="preserve">| 200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pPr>
              <w:spacing w:after="80"/>
            </w:pPr>
            <w:r>
              <w:rPr>
                <w:b/>
              </w:rPr>
              <w:t xml:space="preserve">Baseline. </w:t>
            </w:r>
            <w:r>
              <w:t>Platforms can buy closed age-estimation APIs or use open models trained on UTKFace or IMDB-WIKI, but neither gives African regulators or operators a public African benchmark, a skin-tone slice, or a minor-pass metric.</w:t>
            </w:r>
          </w:p>
          <w:p>
            <w:pPr>
              <w:spacing w:after="80"/>
            </w:pPr>
            <w:r>
              <w:rPr>
                <w:b/>
              </w:rPr>
              <w:t xml:space="preserve">Intervention and result. </w:t>
            </w:r>
            <w:r>
              <w:t>Kámárí-Safe adds leakage-free splits, ITA skin-tone bands, and MPTR. On our EfficientNetV2-S v0, MAE is 6.03 years, but MPTR@18 is 0.317 overall and 0.383 for dark and brown skin, which shows why aggregate accuracy is insufficient.</w:t>
            </w:r>
          </w:p>
          <w:p>
            <w:pPr>
              <w:spacing w:after="80"/>
            </w:pPr>
            <w:r>
              <w:rPr>
                <w:b/>
              </w:rPr>
              <w:t xml:space="preserve">Feasibility. </w:t>
            </w:r>
            <w:r>
              <w:t>The suite is lightweight, documented, and built from open, licence-checked sources. Manifests, model cards, scripts, and a Dockerized reference stack let other teams reproduce or extend it without private data or large compute.</w:t>
            </w:r>
          </w:p>
          <w:p>
            <w:pPr>
              <w:spacing w:after="80"/>
            </w:pPr>
            <w:r>
              <w:rPr>
                <w:b/>
              </w:rPr>
              <w:t xml:space="preserve">Counterfactual. </w:t>
            </w:r>
            <w:r>
              <w:t>Without it, vendors keep publishing closed averages, African platforms lack a procurement metric, and regulators cannot ask a concrete fairness question. Large labs may improve global age estimation, but they are unlikely to prioritize this regional safety slice in the next 12 to 18 months.</w:t>
            </w:r>
          </w:p>
        </w:tc>
      </w:tr>
    </w:tbl>
    <w:p w:rsidR="00000000" w:rsidDel="00000000" w:rsidP="00000000" w:rsidRDefault="00000000" w:rsidRPr="00000000" w14:paraId="0000002B">
      <w:pPr>
        <w:spacing w:before="120" w:lineRule="auto"/>
        <w:rPr>
          <w:color w:val="012641"/>
        </w:rPr>
      </w:pPr>
      <w:r w:rsidDel="00000000" w:rsidR="00000000" w:rsidRPr="00000000">
        <w:rPr>
          <w:rtl w:val="0"/>
        </w:rPr>
      </w:r>
    </w:p>
    <w:p w:rsidR="00000000" w:rsidDel="00000000" w:rsidP="00000000" w:rsidRDefault="00000000" w:rsidRPr="00000000" w14:paraId="0000002C">
      <w:pPr>
        <w:spacing w:before="120" w:lineRule="auto"/>
        <w:rPr>
          <w:color w:val="012641"/>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2D">
            <w:pPr>
              <w:rPr>
                <w:b w:val="1"/>
                <w:bCs w:val="1"/>
                <w:color w:val="eebd61"/>
              </w:rPr>
            </w:pPr>
            <w:r w:rsidDel="00000000" w:rsidR="00000000" w:rsidRPr="00000000">
              <w:rPr>
                <w:b w:val="1"/>
                <w:bCs w:val="1"/>
                <w:color w:val="ffffff"/>
                <w:rtl w:val="0"/>
              </w:rPr>
              <w:t xml:space="preserve">EVIDENCE AND EVALUATION</w:t>
            </w:r>
            <w:r w:rsidDel="00000000" w:rsidR="00000000" w:rsidRPr="00000000">
              <w:rPr>
                <w:b w:val="1"/>
                <w:bCs w:val="1"/>
                <w:color w:val="eebd61"/>
                <w:rtl w:val="0"/>
              </w:rPr>
              <w:t xml:space="preserve">| 200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pPr>
              <w:spacing w:after="80"/>
            </w:pPr>
            <w:r>
              <w:rPr>
                <w:b/>
              </w:rPr>
              <w:t xml:space="preserve">Method. </w:t>
            </w:r>
            <w:r>
              <w:t>We evaluated Kámárí-Safe Open: 8,322 held-out faces, leakage-free by subject and image, ITA skin-tone bands, and documented source licences.</w:t>
            </w:r>
          </w:p>
          <w:p>
            <w:pPr>
              <w:spacing w:after="80"/>
            </w:pPr>
            <w:r>
              <w:rPr>
                <w:b/>
              </w:rPr>
              <w:t xml:space="preserve">Age model. </w:t>
            </w:r>
            <w:r>
              <w:t>The EfficientNetV2-S v0 reaches MAE 6.03; MPTR@18 is 0.317 overall and 0.383 for dark and brown skin; adult-block rate is 0.01. This is a negative but useful result: average error looks acceptable while about a third of true minors pass as adults.</w:t>
            </w:r>
          </w:p>
          <w:p>
            <w:pPr>
              <w:spacing w:after="80"/>
            </w:pPr>
            <w:r>
              <w:rPr>
                <w:b/>
              </w:rPr>
              <w:t xml:space="preserve">Explanation layer. </w:t>
            </w:r>
            <w:r>
              <w:t>The Gemma 4 QLoRA explains policy decisions only. In served-endpoint evaluation over 70 cases across five reason codes and seven languages, JSON validity, schema compliance, decision consistency, policy consistency, and language correctness are all 1.00, with 0.00 invented-code rate.</w:t>
            </w:r>
          </w:p>
          <w:p>
            <w:pPr>
              <w:spacing w:after="80"/>
            </w:pPr>
            <w:r>
              <w:rPr>
                <w:b/>
              </w:rPr>
              <w:t xml:space="preserve">Difference from RFP hypothesis. </w:t>
            </w:r>
            <w:r>
              <w:t>The RFP expected a 40% MPTR reduction. v0 has not solved the age model yet; its main contribution is to make the failure measurable, reproducible, and auditable.</w:t>
            </w:r>
          </w:p>
          <w:p>
            <w:pPr>
              <w:spacing w:after="80"/>
            </w:pPr>
            <w:r>
              <w:rPr>
                <w:b/>
              </w:rPr>
              <w:t xml:space="preserve">Appendices. </w:t>
            </w:r>
            <w:r>
              <w:t>Model cards, methodology, metrics JSON, dataset registry, and Hugging Face artifacts.</w:t>
            </w:r>
          </w:p>
        </w:tc>
      </w:tr>
    </w:tbl>
    <w:p w:rsidR="00000000" w:rsidDel="00000000" w:rsidP="00000000" w:rsidRDefault="00000000" w:rsidRPr="00000000" w14:paraId="00000035">
      <w:pPr>
        <w:spacing w:after="60" w:before="30" w:lineRule="auto"/>
        <w:jc w:val="left"/>
        <w:rPr/>
      </w:pPr>
      <w:r w:rsidDel="00000000" w:rsidR="00000000" w:rsidRPr="00000000">
        <w:rPr>
          <w:rtl w:val="0"/>
        </w:rPr>
      </w:r>
    </w:p>
    <w:p w:rsidR="00000000" w:rsidDel="00000000" w:rsidP="00000000" w:rsidRDefault="00000000" w:rsidRPr="00000000" w14:paraId="00000036">
      <w:pPr>
        <w:spacing w:before="120" w:lineRule="auto"/>
        <w:rPr/>
      </w:pP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37">
            <w:pPr>
              <w:rPr>
                <w:b w:val="1"/>
                <w:bCs w:val="1"/>
                <w:color w:val="eebd61"/>
              </w:rPr>
            </w:pPr>
            <w:r w:rsidDel="00000000" w:rsidR="00000000" w:rsidRPr="00000000">
              <w:rPr>
                <w:b w:val="1"/>
                <w:bCs w:val="1"/>
                <w:color w:val="ffffff"/>
                <w:rtl w:val="0"/>
              </w:rPr>
              <w:t xml:space="preserve">LIMITATIONS AND RISKS </w:t>
            </w:r>
            <w:r w:rsidDel="00000000" w:rsidR="00000000" w:rsidRPr="00000000">
              <w:rPr>
                <w:b w:val="1"/>
                <w:bCs w:val="1"/>
                <w:color w:val="eebd61"/>
                <w:rtl w:val="0"/>
              </w:rPr>
              <w:t xml:space="preserve">| 200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pPr>
              <w:spacing w:after="80"/>
            </w:pPr>
            <w:r>
              <w:rPr>
                <w:b/>
              </w:rPr>
              <w:t xml:space="preserve">Technical. </w:t>
            </w:r>
            <w:r>
              <w:t>MPTR is still high, especially for dark and brown skin, so the CNN must be treated as a signal, not a gate. African representation is partly proxy-based, and exact-age labels for 13 to 17 year olds remain scarce. The benchmark covers age assurance; liveness, spoofing, ID matching, and 1:1 verification are not yet evaluated at the same depth.</w:t>
            </w:r>
          </w:p>
          <w:p>
            <w:pPr>
              <w:spacing w:after="80"/>
            </w:pPr>
            <w:r>
              <w:rPr>
                <w:b/>
              </w:rPr>
              <w:t xml:space="preserve">Misuse. </w:t>
            </w:r>
            <w:r>
              <w:t>Face-age tools can drift into surveillance or identification. Kámárí responds by avoiding 1:N search, storing no raw face images or embeddings by default, publishing manifests instead of pixels, and routing decisions through a conservative policy engine.</w:t>
            </w:r>
          </w:p>
          <w:p>
            <w:pPr>
              <w:spacing w:after="80"/>
            </w:pPr>
            <w:r>
              <w:rPr>
                <w:b/>
              </w:rPr>
              <w:t xml:space="preserve">Ethical and community risk. </w:t>
            </w:r>
            <w:r>
              <w:t>Minors and dark-skinned users bear the most error risk. Outputs are labelled as estimates, borderline cases route to secondary checks, and the fairness slices are published so bias is visible.</w:t>
            </w:r>
          </w:p>
          <w:p>
            <w:pPr>
              <w:spacing w:after="80"/>
            </w:pPr>
            <w:r>
              <w:rPr>
                <w:b/>
              </w:rPr>
              <w:t xml:space="preserve">Unknown. </w:t>
            </w:r>
            <w:r>
              <w:t>Performance on consented real African selfies, low-light webcams, and country-level cohorts still needs deeper validation.</w:t>
            </w:r>
          </w:p>
          <w:p>
            <w:pPr>
              <w:spacing w:after="80"/>
            </w:pPr>
            <w:r>
              <w:rPr>
                <w:b/>
              </w:rPr>
              <w:t xml:space="preserve">Biggest unlock. </w:t>
            </w:r>
            <w:r>
              <w:t>A larger consented African 13 to 21 dataset with exact ages would directly improve the model and benchmark.</w:t>
            </w:r>
          </w:p>
        </w:tc>
      </w:tr>
    </w:tbl>
    <w:p w:rsidR="00000000" w:rsidDel="00000000" w:rsidP="00000000" w:rsidRDefault="00000000" w:rsidRPr="00000000" w14:paraId="00000040">
      <w:pPr>
        <w:spacing w:before="80" w:lineRule="auto"/>
        <w:rPr/>
      </w:pPr>
      <w:r w:rsidDel="00000000" w:rsidR="00000000" w:rsidRPr="00000000">
        <w:rPr>
          <w:rtl w:val="0"/>
        </w:rPr>
      </w:r>
    </w:p>
    <w:p w:rsidR="00000000" w:rsidDel="00000000" w:rsidP="00000000" w:rsidRDefault="00000000" w:rsidRPr="00000000" w14:paraId="00000041">
      <w:pPr>
        <w:spacing w:before="120" w:lineRule="auto"/>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42">
            <w:pPr>
              <w:rPr>
                <w:b w:val="1"/>
                <w:bCs w:val="1"/>
                <w:color w:val="eebd61"/>
              </w:rPr>
            </w:pPr>
            <w:r w:rsidDel="00000000" w:rsidR="00000000" w:rsidRPr="00000000">
              <w:rPr>
                <w:b w:val="1"/>
                <w:bCs w:val="1"/>
                <w:color w:val="ffffff"/>
                <w:rtl w:val="0"/>
              </w:rPr>
              <w:t xml:space="preserve">WHO WILL USE IT AND HOW </w:t>
            </w:r>
            <w:r w:rsidDel="00000000" w:rsidR="00000000" w:rsidRPr="00000000">
              <w:rPr>
                <w:b w:val="1"/>
                <w:bCs w:val="1"/>
                <w:color w:val="eebd61"/>
                <w:rtl w:val="0"/>
              </w:rPr>
              <w:t xml:space="preserve">| 200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pPr>
              <w:spacing w:after="80"/>
            </w:pPr>
            <w:r>
              <w:rPr>
                <w:b/>
              </w:rPr>
              <w:t xml:space="preserve">Primary users. </w:t>
            </w:r>
            <w:r>
              <w:t>African platform operators in regulated or age-sensitive sectors, age-assurance vendors, AI safety researchers, and regulators or NGOs evaluating procurement claims. A sportsbook, alcohol delivery service, or content platform would run Kámárí-Safe against its model and report MPTR by skin tone before deployment.</w:t>
            </w:r>
          </w:p>
          <w:p>
            <w:pPr>
              <w:spacing w:after="80"/>
            </w:pPr>
            <w:r>
              <w:rPr>
                <w:b/>
              </w:rPr>
              <w:t xml:space="preserve">Path to adoption. </w:t>
            </w:r>
            <w:r>
              <w:t>The repo, model cards, methodology, self-host guide, API, app, and Hugging Face artifacts are public. The next concrete step is a short external evaluation report and pilots with two or three African platforms.</w:t>
            </w:r>
          </w:p>
          <w:p>
            <w:pPr>
              <w:spacing w:after="80"/>
            </w:pPr>
            <w:r>
              <w:rPr>
                <w:b/>
              </w:rPr>
              <w:t xml:space="preserve">Partnerships. </w:t>
            </w:r>
            <w:r>
              <w:t>Formal pilots are not yet complete; named sectors in the app are demonstration targets, not confirmed integrations.</w:t>
            </w:r>
          </w:p>
          <w:p>
            <w:pPr>
              <w:spacing w:after="80"/>
            </w:pPr>
            <w:r>
              <w:rPr>
                <w:b/>
              </w:rPr>
              <w:t xml:space="preserve">Maintenance. </w:t>
            </w:r>
            <w:r>
              <w:t>The benchmark and code can be maintained as an open-source project, with a managed API funding infrastructure and support.</w:t>
            </w:r>
          </w:p>
          <w:p>
            <w:pPr>
              <w:spacing w:after="80"/>
            </w:pPr>
            <w:r>
              <w:rPr>
                <w:b/>
              </w:rPr>
              <w:t xml:space="preserve">Community empowerment. </w:t>
            </w:r>
            <w:r>
              <w:t>African researchers can add local languages, countries, consented datasets, and harm cases without depending on a closed vendor score.</w:t>
            </w:r>
          </w:p>
        </w:tc>
      </w:tr>
    </w:tbl>
    <w:p w:rsidR="00000000" w:rsidDel="00000000" w:rsidP="00000000" w:rsidRDefault="00000000" w:rsidRPr="00000000" w14:paraId="0000004B">
      <w:pPr>
        <w:spacing w:after="60" w:before="30" w:lineRule="auto"/>
        <w:jc w:val="left"/>
        <w:rPr/>
      </w:pPr>
      <w:r w:rsidDel="00000000" w:rsidR="00000000" w:rsidRPr="00000000">
        <w:rPr>
          <w:rtl w:val="0"/>
        </w:rPr>
      </w:r>
    </w:p>
    <w:p w:rsidR="00000000" w:rsidDel="00000000" w:rsidP="00000000" w:rsidRDefault="00000000" w:rsidRPr="00000000" w14:paraId="0000004C">
      <w:pPr>
        <w:spacing w:before="12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4D">
            <w:pPr>
              <w:rPr>
                <w:b w:val="1"/>
                <w:bCs w:val="1"/>
                <w:color w:val="eebd61"/>
              </w:rPr>
            </w:pPr>
            <w:r w:rsidDel="00000000" w:rsidR="00000000" w:rsidRPr="00000000">
              <w:rPr>
                <w:b w:val="1"/>
                <w:bCs w:val="1"/>
                <w:color w:val="ffffff"/>
                <w:rtl w:val="0"/>
              </w:rPr>
              <w:t xml:space="preserve">CHANGES FROM YOUR RFP </w:t>
            </w:r>
            <w:r w:rsidDel="00000000" w:rsidR="00000000" w:rsidRPr="00000000">
              <w:rPr>
                <w:b w:val="1"/>
                <w:bCs w:val="1"/>
                <w:color w:val="eebd61"/>
                <w:rtl w:val="0"/>
              </w:rPr>
              <w:t xml:space="preserve">| 150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pPr>
              <w:spacing w:after="80"/>
            </w:pPr>
            <w:r>
              <w:t>The RFP proposed a broader v2 release: NGO-collected African images, a real-conditions stress set, liveness and verification benchmarks, Raspberry Pi deployment, and a target 40% MPTR reduction. The final submission narrows the scored deliverable to the tractable evaluation contribution: Kámárí-Safe Open, a dataset registry, MPTR, ITA skin-tone slices, v0 age and explanation models, and the public reference app/API. This change was deliberate. The key discovery was that aggregate age accuracy could look acceptable while MPTR remained unsafe, especially for dark and brown skin. What stayed the same is the core aim: a self-hostable, privacy-first African age-assurance system that lets African teams measure whether minors are actually protected.</w:t>
            </w:r>
          </w:p>
        </w:tc>
      </w:tr>
    </w:tbl>
    <w:p w:rsidR="00000000" w:rsidDel="00000000" w:rsidP="00000000" w:rsidRDefault="00000000" w:rsidRPr="00000000" w14:paraId="00000055">
      <w:pPr>
        <w:spacing w:after="60" w:before="30" w:lineRule="auto"/>
        <w:rPr/>
      </w:pPr>
      <w:r w:rsidDel="00000000" w:rsidR="00000000" w:rsidRPr="00000000">
        <w:rPr>
          <w:rtl w:val="0"/>
        </w:rPr>
      </w:r>
    </w:p>
    <w:p w:rsidR="00000000" w:rsidDel="00000000" w:rsidP="00000000" w:rsidRDefault="00000000" w:rsidRPr="00000000" w14:paraId="00000056">
      <w:pPr>
        <w:spacing w:before="120" w:lineRule="auto"/>
        <w:rPr/>
      </w:pP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012641" w:val="clear"/>
            <w:tcMar>
              <w:top w:w="100.0" w:type="dxa"/>
              <w:left w:w="140.0" w:type="dxa"/>
              <w:bottom w:w="100.0" w:type="dxa"/>
              <w:right w:w="140.0" w:type="dxa"/>
            </w:tcMar>
          </w:tcPr>
          <w:p w:rsidR="00000000" w:rsidDel="00000000" w:rsidP="00000000" w:rsidRDefault="00000000" w:rsidRPr="00000000" w14:paraId="00000057">
            <w:pPr>
              <w:rPr>
                <w:b w:val="1"/>
                <w:bCs w:val="1"/>
                <w:color w:val="eebd61"/>
              </w:rPr>
            </w:pPr>
            <w:r w:rsidDel="00000000" w:rsidR="00000000" w:rsidRPr="00000000">
              <w:rPr>
                <w:b w:val="1"/>
                <w:bCs w:val="1"/>
                <w:color w:val="ffffff"/>
                <w:rtl w:val="0"/>
              </w:rPr>
              <w:t xml:space="preserve">ANYTHING ELSE </w:t>
            </w:r>
            <w:r w:rsidDel="00000000" w:rsidR="00000000" w:rsidRPr="00000000">
              <w:rPr>
                <w:b w:val="1"/>
                <w:bCs w:val="1"/>
                <w:color w:val="eebd61"/>
                <w:rtl w:val="0"/>
              </w:rPr>
              <w:t xml:space="preserve">| 150 words max</w:t>
            </w:r>
          </w:p>
        </w:tc>
      </w:tr>
      <w:tr>
        <w:trPr>
          <w:cantSplit w:val="0"/>
          <w:tblHeader w:val="0"/>
        </w:trPr>
        <w:tc>
          <w:tcPr>
            <w:gridSpan w:val="2"/>
            <w:tcBorders>
              <w:top w:color="012641" w:space="0" w:sz="4" w:val="single"/>
              <w:left w:color="012641" w:space="0" w:sz="4" w:val="single"/>
              <w:bottom w:color="012641" w:space="0" w:sz="4" w:val="single"/>
              <w:right w:color="012641" w:space="0" w:sz="4" w:val="single"/>
            </w:tcBorders>
            <w:shd w:fill="e8eef2" w:val="clear"/>
            <w:tcMar>
              <w:top w:w="100.0" w:type="dxa"/>
              <w:left w:w="140.0" w:type="dxa"/>
              <w:bottom w:w="100.0" w:type="dxa"/>
              <w:right w:w="140.0" w:type="dxa"/>
            </w:tcMar>
          </w:tcPr>
          <w:p>
            <w:pPr>
              <w:spacing w:after="80"/>
            </w:pPr>
            <w:r>
              <w:t>The submission should be read as both a product prototype and an evaluation artifact. The strongest contribution is not claiming the age model is solved; it is publishing the measurement that shows where it is unsafe and making that measurement reproducible. The web app, API, Android build, self-host instructions, model cards, and Hugging Face artifacts demonstrate deployability, while the benchmark gives platforms and regulators a concrete question to ask before adopting any face age gate: what is the Minor-Pass-Through Rate for African users, especially dark and brown skin and the 13 to 21 boundary? That question is reusable beyond Kámárí.</w:t>
            </w:r>
          </w:p>
        </w:tc>
      </w:tr>
    </w:tbl>
    <w:p w:rsidR="00000000" w:rsidDel="00000000" w:rsidP="00000000" w:rsidRDefault="00000000" w:rsidRPr="00000000" w14:paraId="0000005B">
      <w:pPr>
        <w:spacing w:after="60" w:before="30" w:lineRule="auto"/>
        <w:rPr/>
      </w:pPr>
      <w:r w:rsidDel="00000000" w:rsidR="00000000" w:rsidRPr="00000000">
        <w:rPr>
          <w:rtl w:val="0"/>
        </w:rPr>
      </w:r>
    </w:p>
    <w:p w:rsidR="00000000" w:rsidDel="00000000" w:rsidP="00000000" w:rsidRDefault="00000000" w:rsidRPr="00000000" w14:paraId="0000005C">
      <w:pPr>
        <w:spacing w:after="0" w:before="80" w:lineRule="auto"/>
        <w:rPr/>
      </w:pPr>
      <w:r w:rsidDel="00000000" w:rsidR="00000000" w:rsidRPr="00000000">
        <w:rPr>
          <w:rtl w:val="0"/>
        </w:rPr>
      </w:r>
    </w:p>
    <w:p w:rsidR="00000000" w:rsidDel="00000000" w:rsidP="00000000" w:rsidRDefault="00000000" w:rsidRPr="00000000" w14:paraId="0000005D">
      <w:pPr>
        <w:pBdr>
          <w:top w:color="eebd61" w:space="4" w:sz="4" w:val="single"/>
        </w:pBdr>
        <w:spacing w:after="0" w:before="80" w:lineRule="auto"/>
        <w:jc w:val="center"/>
        <w:rPr/>
      </w:pPr>
      <w:r w:rsidDel="00000000" w:rsidR="00000000" w:rsidRPr="00000000">
        <w:rPr>
          <w:rtl w:val="0"/>
        </w:rPr>
      </w:r>
    </w:p>
    <w:sectPr>
      <w:headerReference r:id="rId11" w:type="default"/>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rmorant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Garamon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color="eebd61" w:space="2" w:sz="4" w:val="single"/>
      </w:pBdr>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139700</wp:posOffset>
          </wp:positionV>
          <wp:extent cx="2062279" cy="62765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2279" cy="627650"/>
                  </a:xfrm>
                  <a:prstGeom prst="rect"/>
                  <a:ln/>
                </pic:spPr>
              </pic:pic>
            </a:graphicData>
          </a:graphic>
        </wp:anchor>
      </w:drawing>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0">
      <w:pPr>
        <w:rPr>
          <w:color w:val="012641"/>
        </w:rPr>
      </w:pPr>
      <w:r w:rsidDel="00000000" w:rsidR="00000000" w:rsidRPr="00000000">
        <w:rPr>
          <w:rStyle w:val="FootnoteReference"/>
          <w:vertAlign w:val="superscript"/>
        </w:rPr>
        <w:footnoteRef/>
      </w:r>
      <w:r w:rsidDel="00000000" w:rsidR="00000000" w:rsidRPr="00000000">
        <w:rPr>
          <w:color w:val="012641"/>
          <w:rtl w:val="0"/>
        </w:rPr>
        <w:t xml:space="preserve"> A strong baseline has three components: (1) what currently exists (or doesn't), (2) who is affected by the gap, and (3) why that gap is measurable or observable. The weakest baselines just say "this problem is underserved"/”no solution addressing the AI harm” without saying what underserved looks like in practice. The strongest ones give a number, a named absence, or a concrete failure mode that the submission directly addresses.</w:t>
      </w:r>
    </w:p>
  </w:footnote>
  <w:footnote w:id="1">
    <w:p w:rsidR="00000000" w:rsidDel="00000000" w:rsidP="00000000" w:rsidRDefault="00000000" w:rsidRPr="00000000" w14:paraId="00000061">
      <w:pPr>
        <w:rPr>
          <w:color w:val="012641"/>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012641"/>
          <w:rtl w:val="0"/>
        </w:rPr>
        <w:t xml:space="preserve">This is the list of what you have provided in the “Appendices” section in the Airtable form to give a quick overview of the extra material provided.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Bdr>
        <w:bottom w:color="eebd61" w:space="1" w:sz="4" w:val="single"/>
      </w:pBdr>
      <w:rPr/>
    </w:pPr>
    <w:r w:rsidDel="00000000" w:rsidR="00000000" w:rsidRPr="00000000">
      <w:rPr>
        <w:rFonts w:ascii="Garamond" w:cs="Garamond" w:eastAsia="Garamond" w:hAnsi="Garamond"/>
        <w:color w:val="888888"/>
        <w:sz w:val="16"/>
        <w:szCs w:val="16"/>
        <w:rtl w:val="0"/>
      </w:rPr>
      <w:t xml:space="preserve">      Africa AI Safety Prize Competition 2026  —  </w:t>
    </w:r>
    <w:r w:rsidDel="00000000" w:rsidR="00000000" w:rsidRPr="00000000">
      <w:rPr>
        <w:color w:val="888888"/>
        <w:sz w:val="16"/>
        <w:szCs w:val="16"/>
        <w:rtl w:val="0"/>
      </w:rPr>
      <w:t xml:space="preserve">Final </w:t>
    </w:r>
    <w:r w:rsidDel="00000000" w:rsidR="00000000" w:rsidRPr="00000000">
      <w:rPr>
        <w:rFonts w:ascii="Garamond" w:cs="Garamond" w:eastAsia="Garamond" w:hAnsi="Garamond"/>
        <w:color w:val="888888"/>
        <w:sz w:val="16"/>
        <w:szCs w:val="16"/>
        <w:rtl w:val="0"/>
      </w:rPr>
      <w:t xml:space="preserve">Submission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80" w:hanging="24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color w:val="2222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aramond" w:cs="Garamond" w:eastAsia="Garamond" w:hAnsi="Garamond"/>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mailto:info@casa-ai.org" TargetMode="External"/><Relationship Id="rId12" Type="http://schemas.openxmlformats.org/officeDocument/2006/relationships/footer" Target="footer1.xml"/><Relationship Id="rId9" Type="http://schemas.openxmlformats.org/officeDocument/2006/relationships/hyperlink" Target="https://airtable.com/appMRSkUl5CGGAMYB/shrOkxpcdLNH4lMl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irtable.com/appMRSkUl5CGGAMYB/shrOkxpcdLNH4lMlU" TargetMode="External"/><Relationship Id="rId8" Type="http://schemas.openxmlformats.org/officeDocument/2006/relationships/hyperlink" Target="https://www.casa-ai.org/competition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morantGaramond-regular.ttf"/><Relationship Id="rId2" Type="http://schemas.openxmlformats.org/officeDocument/2006/relationships/font" Target="fonts/CormorantGaramond-bold.ttf"/><Relationship Id="rId3" Type="http://schemas.openxmlformats.org/officeDocument/2006/relationships/font" Target="fonts/CormorantGaramond-italic.ttf"/><Relationship Id="rId4" Type="http://schemas.openxmlformats.org/officeDocument/2006/relationships/font" Target="fonts/CormorantGaramond-boldItalic.ttf"/><Relationship Id="rId11" Type="http://schemas.openxmlformats.org/officeDocument/2006/relationships/font" Target="fonts/Garamond-boldItalic.ttf"/><Relationship Id="rId10" Type="http://schemas.openxmlformats.org/officeDocument/2006/relationships/font" Target="fonts/Garamond-italic.ttf"/><Relationship Id="rId9" Type="http://schemas.openxmlformats.org/officeDocument/2006/relationships/font" Target="fonts/Garamond-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Garamond-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