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7365D"/>
          <w:sz w:val="54"/>
        </w:rPr>
        <w:t>P-GLL Model Behavior &amp;</w:t>
        <w:br/>
        <w:t>Harness Compensation Baseline</w:t>
      </w:r>
    </w:p>
    <w:p>
      <w:pPr>
        <w:jc w:val="center"/>
      </w:pPr>
      <w:r>
        <w:rPr>
          <w:color w:val="44546A"/>
          <w:sz w:val="28"/>
        </w:rPr>
        <w:t>Research, Documentation, QA, Tool Use, and Recursive Evidence Workflows</w:t>
      </w:r>
    </w:p>
    <w:p>
      <w:pPr>
        <w:spacing w:before="360"/>
        <w:jc w:val="center"/>
      </w:pPr>
      <w:r>
        <w:rPr>
          <w:b/>
          <w:sz w:val="23"/>
        </w:rPr>
        <w:t>Scope: local/open models up to 40B parameters and frontier-class models</w:t>
      </w:r>
    </w:p>
    <w:p>
      <w:pPr>
        <w:jc w:val="center"/>
      </w:pPr>
      <w:r>
        <w:rPr>
          <w:sz w:val="21"/>
        </w:rPr>
        <w:t>Orion-Next / Hermes / Programming-GLL research baseline</w:t>
        <w:br/>
        <w:t>Version 0.1 - 20 September 2026</w:t>
      </w:r>
    </w:p>
    <w:p/>
    <w:tbl>
      <w:tblPr>
        <w:tblW w:type="auto" w:w="0"/>
        <w:jc w:val="center"/>
        <w:tblLayout w:type="fixed"/>
        <w:tblLook w:firstColumn="1" w:firstRow="1" w:lastColumn="0" w:lastRow="0" w:noHBand="0" w:noVBand="1" w:val="04A0"/>
      </w:tblPr>
      <w:tblGrid>
        <w:gridCol w:w="9936"/>
      </w:tblGrid>
      <w:tr>
        <w:tc>
          <w:tcPr>
            <w:tcW w:type="dxa" w:w="9072"/>
            <w:shd w:fill="FFF2CC"/>
            <w:tcMar>
              <w:top w:w="130" w:type="dxa"/>
              <w:start w:w="160" w:type="dxa"/>
              <w:bottom w:w="130" w:type="dxa"/>
              <w:end w:w="160" w:type="dxa"/>
            </w:tcMar>
          </w:tcPr>
          <w:p>
            <w:r>
              <w:rPr>
                <w:b/>
                <w:sz w:val="22"/>
              </w:rPr>
              <w:t>Status</w:t>
            </w:r>
          </w:p>
          <w:p>
            <w:pPr>
              <w:spacing w:after="0"/>
            </w:pPr>
            <w:r>
              <w:t>RESEARCH BASELINE / ENGINEERING PRIOR. This document consolidates recurring findings from published benchmarks and Orion P-GLL principles. Model-size bands are starting priors to test, not universal capability laws. Actual Orion routing must be based on measured per-model qualification.</w:t>
            </w:r>
          </w:p>
        </w:tc>
      </w:tr>
    </w:tbl>
    <w:p>
      <w:pPr>
        <w:spacing w:after="40"/>
      </w:pPr>
    </w:p>
    <w:p>
      <w:r>
        <w:br w:type="page"/>
      </w:r>
    </w:p>
    <w:p>
      <w:pPr>
        <w:pStyle w:val="Heading1"/>
      </w:pPr>
      <w:r>
        <w:t>Executive Summary</w:t>
      </w:r>
    </w:p>
    <w:p>
      <w:r>
        <w:t>The strongest cross-model pattern is not simply that smaller models are worse. It is that model reliability depends heavily on task shape, context length, evidence structure, instruction complexity, tool surface, and verification design. Parameter count is useful as an initial routing prior, but it is not a sufficient qualification signal.</w:t>
      </w:r>
    </w:p>
    <w:p>
      <w:r>
        <w:t>Across long-context, agentic, citation, and self-evaluation research, the same engineering lesson repeats: a model can have enough context capacity to accept information without using all of it reliably; can produce fluent research without complete citation support; can use tools successfully on one run while failing consistency across repeated runs; and can revise its own answer in either a helpful or harmful direction depending on how verification is framed. [1-17]</w:t>
      </w:r>
    </w:p>
    <w:tbl>
      <w:tblPr>
        <w:tblW w:type="auto" w:w="0"/>
        <w:jc w:val="center"/>
        <w:tblLayout w:type="fixed"/>
        <w:tblLook w:firstColumn="1" w:firstRow="1" w:lastColumn="0" w:lastRow="0" w:noHBand="0" w:noVBand="1" w:val="04A0"/>
      </w:tblPr>
      <w:tblGrid>
        <w:gridCol w:w="9936"/>
      </w:tblGrid>
      <w:tr>
        <w:tc>
          <w:tcPr>
            <w:tcW w:type="dxa" w:w="9072"/>
            <w:shd w:fill="E2F0D9"/>
            <w:tcMar>
              <w:top w:w="130" w:type="dxa"/>
              <w:start w:w="160" w:type="dxa"/>
              <w:bottom w:w="130" w:type="dxa"/>
              <w:end w:w="160" w:type="dxa"/>
            </w:tcMar>
          </w:tcPr>
          <w:p>
            <w:r>
              <w:rPr>
                <w:b/>
                <w:sz w:val="22"/>
              </w:rPr>
              <w:t>Core Orion conclusion</w:t>
            </w:r>
          </w:p>
          <w:p>
            <w:pPr>
              <w:spacing w:after="0"/>
            </w:pPr>
            <w:r>
              <w:t>The harness should own coverage, evidence accounting, recursion, stop conditions, output shape, and qualification. The model should own bounded semantic interpretation, synthesis, comparison, and candidate generation. P-GLL supplies the semantic contract; Recursive Loop Logic (RLL) supplies the coverage-and-evidence execution discipline.</w:t>
            </w:r>
          </w:p>
        </w:tc>
      </w:tr>
    </w:tbl>
    <w:p>
      <w:pPr>
        <w:spacing w:after="40"/>
      </w:pPr>
    </w:p>
    <w:p>
      <w:pPr>
        <w:pStyle w:val="PGLLCode"/>
      </w:pPr>
      <w:r>
        <w:t>MODEL_CAPABILITY != MODEL_PARAMETER_COUNT</w:t>
      </w:r>
      <w:r>
        <w:br/>
      </w:r>
      <w:r>
        <w:t>ADVERTISED_CONTEXT != EFFECTIVE_CONTEXT</w:t>
      </w:r>
      <w:r>
        <w:br/>
      </w:r>
      <w:r>
        <w:t>READABLE_CONTEXT != RELIABLY_USED_CONTEXT</w:t>
      </w:r>
      <w:r>
        <w:br/>
      </w:r>
      <w:r>
        <w:t>FLUENT_SYNTHESIS != COMPLETE_COVERAGE</w:t>
      </w:r>
      <w:r>
        <w:br/>
      </w:r>
      <w:r>
        <w:t>SELF_CRITIQUE != INDEPENDENT_VERIFICATION</w:t>
      </w:r>
      <w:r>
        <w:br/>
      </w:r>
      <w:r>
        <w:t>CITATION_PRESENT != CLAIM_SUPPORTED</w:t>
      </w:r>
      <w:r>
        <w:br/>
      </w:r>
      <w:r>
        <w:t>ONE_SUCCESSFUL_AGENT_RUN != RELIABLE_AGENT</w:t>
      </w:r>
      <w:r>
        <w:br/>
      </w:r>
      <w:r>
        <w:t>MODEL_OUTPUT != VERIFIED_SNAPSHOT</w:t>
      </w:r>
    </w:p>
    <w:p>
      <w:pPr>
        <w:pStyle w:val="Heading1"/>
      </w:pPr>
      <w:r>
        <w:t>1. Scope, Evidence, and Nonclaims</w:t>
      </w:r>
    </w:p>
    <w:p>
      <w:r>
        <w:t>This document is designed as a starting key for Orion model profiling and harness design. It focuses on recurring behaviors relevant to research, documentation, QA, long-document analysis, engineering tasks, and tool-using agents. It combines public research with the P-GLL standards already used by Orion.</w:t>
      </w:r>
    </w:p>
    <w:p>
      <w:r>
        <w:t>The literature base includes long-context benchmarks (Lost in the Middle, RULER, LongBench v2, LongReason/LongReasonArena, LongGenBench), agent/tool benchmarks (AgentBench, tau-bench, ReliabilityBench, General AgentBench, MetaTool), research/citation benchmarks (ALCE, LongFact/SAFE, DeepResearch Bench), self-correction and judge-bias studies, structured-output benchmarks, and work on hierarchical long-document processing. Many are arXiv preprints; they should be treated as strong engineering evidence, not immutable scientific law.</w:t>
      </w:r>
    </w:p>
    <w:p>
      <w:r>
        <w:t>The P-GLL basis is consistent with this direction: L0/L1/L2 representations preserve semantics at different compression levels; context should be minimum, sufficient, and relevant; model confidence is not verification; deterministic validators should own script-shaped checks; and benchmark candidates must beat simpler baselines before adoption.</w:t>
      </w:r>
    </w:p>
    <w:p>
      <w:pPr>
        <w:pStyle w:val="ListBullet"/>
      </w:pPr>
      <w:r>
        <w:t>Do not infer a capability solely from parameter count.</w:t>
      </w:r>
    </w:p>
    <w:p>
      <w:pPr>
        <w:pStyle w:val="ListBullet"/>
      </w:pPr>
      <w:r>
        <w:t>Do not infer effective context from the model card or runtime-advertised context window.</w:t>
      </w:r>
    </w:p>
    <w:p>
      <w:pPr>
        <w:pStyle w:val="ListBullet"/>
      </w:pPr>
      <w:r>
        <w:t>Do not infer global document coverage from a coherent final answer.</w:t>
      </w:r>
    </w:p>
    <w:p>
      <w:pPr>
        <w:pStyle w:val="ListBullet"/>
      </w:pPr>
      <w:r>
        <w:t>Do not infer verification from a model reviewing its own answer.</w:t>
      </w:r>
    </w:p>
    <w:p>
      <w:pPr>
        <w:pStyle w:val="ListBullet"/>
      </w:pPr>
      <w:r>
        <w:t>Do not infer production reliability from one successful run.</w:t>
      </w:r>
    </w:p>
    <w:p>
      <w:pPr>
        <w:pStyle w:val="Heading1"/>
      </w:pPr>
      <w:r>
        <w:t>2. Cross-Model Recurring Behavior Patterns</w:t>
      </w:r>
    </w:p>
    <w:p>
      <w:pPr>
        <w:pStyle w:val="Heading2"/>
      </w:pPr>
      <w:r>
        <w:t>2.1 Advertised context is not effective reasoning context</w:t>
      </w:r>
    </w:p>
    <w:p>
      <w:r>
        <w:t>Lost in the Middle showed strong position effects in long contexts, and RULER found large performance drops as context length and task complexity increased, even for models advertised for long contexts. LongBench v2 and LongReason-family work reinforce that long-input acceptance and long-range reasoning are different capabilities. [1-4]</w:t>
      </w:r>
    </w:p>
    <w:p>
      <w:r>
        <w:rPr>
          <w:b/>
        </w:rPr>
        <w:t>P-GLL / harness response: profile effective context by task type. Treat retrieval, aggregation, cross-reference reasoning, and long-form generation as separate qualification dimensions.</w:t>
      </w:r>
    </w:p>
    <w:p>
      <w:pPr>
        <w:pStyle w:val="Heading2"/>
      </w:pPr>
      <w:r>
        <w:t>2.2 Retrieval degrades more slowly than aggregation and multi-hop reasoning</w:t>
      </w:r>
    </w:p>
    <w:p>
      <w:r>
        <w:t>Simple needle retrieval can look excellent while multi-needle, multi-hop, aggregation, and long reasoning degrade. RULER was designed specifically because needle tests were too superficial. [2]</w:t>
      </w:r>
    </w:p>
    <w:p>
      <w:r>
        <w:rPr>
          <w:b/>
        </w:rPr>
        <w:t>P-GLL / harness response: do not qualify a model for document research because it can retrieve one fact from 64K. Test distributed evidence, cross-section dependencies, contradiction detection, and global coverage.</w:t>
      </w:r>
    </w:p>
    <w:p>
      <w:pPr>
        <w:pStyle w:val="Heading2"/>
      </w:pPr>
      <w:r>
        <w:t>2.3 Long-form generation creates its own failure surface</w:t>
      </w:r>
    </w:p>
    <w:p>
      <w:r>
        <w:t>LongGenBench found that models strong on long-context understanding still struggled with long outputs and constraint adherence as generation length increased. [5]</w:t>
      </w:r>
    </w:p>
    <w:p>
      <w:r>
        <w:rPr>
          <w:b/>
        </w:rPr>
        <w:t>P-GLL / harness response: separate source ingestion from report generation. Generate in bounded sections with a stable outline, claim ledger, and deterministic completion checks.</w:t>
      </w:r>
    </w:p>
    <w:p>
      <w:pPr>
        <w:pStyle w:val="Heading2"/>
      </w:pPr>
      <w:r>
        <w:t>2.4 Multiple constraints compose into new failure modes</w:t>
      </w:r>
    </w:p>
    <w:p>
      <w:r>
        <w:t>ComplexBench and related constraint-following work find substantial deficiencies when multiple instruction constraints must be satisfied together. [6]</w:t>
      </w:r>
    </w:p>
    <w:p>
      <w:r>
        <w:rPr>
          <w:b/>
        </w:rPr>
        <w:t>P-GLL / harness response: represent hard constraints, non-goals, output contracts, and stop rules as explicit fields; mechanically validate what can be validated.</w:t>
      </w:r>
    </w:p>
    <w:p>
      <w:pPr>
        <w:pStyle w:val="Heading2"/>
      </w:pPr>
      <w:r>
        <w:t>2.5 Tool use is not equivalent to reliable agency</w:t>
      </w:r>
    </w:p>
    <w:p>
      <w:r>
        <w:t>AgentBench identified long-term reasoning, decision-making, and instruction-following as major agent obstacles. tau-bench showed poor repeated-run reliability even for strong function-calling agents. ReliabilityBench and General AgentBench continue this pattern under perturbations, faults, and general multi-tool environments. [7-10]</w:t>
      </w:r>
    </w:p>
    <w:p>
      <w:r>
        <w:rPr>
          <w:b/>
        </w:rPr>
        <w:t>P-GLL / harness response: minimize tool surface, classify tool tasks, use end-state verification, track pass^k/repeat reliability, and inject failures during qualification.</w:t>
      </w:r>
    </w:p>
    <w:p>
      <w:pPr>
        <w:pStyle w:val="Heading2"/>
      </w:pPr>
      <w:r>
        <w:t>2.6 Citation presence is not citation completeness</w:t>
      </w:r>
    </w:p>
    <w:p>
      <w:r>
        <w:t>ALCE found considerable room for improvement in citation support, and DeepResearch Bench separately measures report quality, retrieval, effective citation count, and citation accuracy. [11,13]</w:t>
      </w:r>
    </w:p>
    <w:p>
      <w:r>
        <w:rPr>
          <w:b/>
        </w:rPr>
        <w:t>P-GLL / harness response: claims must bind to evidence IDs. Citation coverage and citation entailment are separate checks.</w:t>
      </w:r>
    </w:p>
    <w:p>
      <w:pPr>
        <w:pStyle w:val="Heading2"/>
      </w:pPr>
      <w:r>
        <w:t>2.7 Long-form factuality benefits from claim decomposition</w:t>
      </w:r>
    </w:p>
    <w:p>
      <w:r>
        <w:t>LongFact/SAFE evaluates long-form answers by decomposing them into atomic facts and checking each against retrieved evidence. [12]</w:t>
      </w:r>
    </w:p>
    <w:p>
      <w:r>
        <w:rPr>
          <w:b/>
        </w:rPr>
        <w:t>P-GLL / harness response: the verifier should audit a claim ledger, not judge the report as one holistic object.</w:t>
      </w:r>
    </w:p>
    <w:p>
      <w:pPr>
        <w:pStyle w:val="Heading2"/>
      </w:pPr>
      <w:r>
        <w:t>2.8 Intrinsic self-correction is unstable and prompt-sensitive</w:t>
      </w:r>
    </w:p>
    <w:p>
      <w:r>
        <w:t>Research disagrees on how much intrinsic self-correction models possess. One line of work found self-correction without external feedback often fails or degrades; other work found gains under fair prompts, low temperature, or verification targeted at key conditions. [14,15]</w:t>
      </w:r>
    </w:p>
    <w:p>
      <w:r>
        <w:rPr>
          <w:b/>
        </w:rPr>
        <w:t>P-GLL / harness response: treat self-correction as a qualified technique, not a guarantee. Prefer evidence-backed verification and neutral verdict schemas.</w:t>
      </w:r>
    </w:p>
    <w:p>
      <w:pPr>
        <w:pStyle w:val="Heading2"/>
      </w:pPr>
      <w:r>
        <w:t>2.9 Self-evaluation and LLM judges have systematic biases</w:t>
      </w:r>
    </w:p>
    <w:p>
      <w:r>
        <w:t>LLM-as-judge studies document position, verbosity, self-enhancement/self-preference, and reasoning limitations. Self-refinement can amplify self-bias. [16,17]</w:t>
      </w:r>
    </w:p>
    <w:p>
      <w:r>
        <w:rPr>
          <w:b/>
        </w:rPr>
        <w:t>P-GLL / harness response: do not use the same model generation as sole acceptance evidence. Isolate verifier context, randomize comparison order when relevant, and prefer external or deterministic evidence.</w:t>
      </w:r>
    </w:p>
    <w:p>
      <w:pPr>
        <w:pStyle w:val="Heading2"/>
      </w:pPr>
      <w:r>
        <w:t>2.10 Hierarchical decomposition helps scale but can compound errors</w:t>
      </w:r>
    </w:p>
    <w:p>
      <w:r>
        <w:t>Hierarchical summarization and merging enable very long document processing, but recursive summarization can amplify hallucinations unless source context remains attached. Source-aware refinement and citations improve the process. [18]</w:t>
      </w:r>
    </w:p>
    <w:p>
      <w:r>
        <w:rPr>
          <w:b/>
        </w:rPr>
        <w:t>P-GLL / harness response: recursive passes must retain source-region IDs and allow rehydration from original text. Never recursively summarize summaries without a provenance path.</w:t>
      </w:r>
    </w:p>
    <w:p>
      <w:pPr>
        <w:pStyle w:val="Heading2"/>
      </w:pPr>
      <w:r>
        <w:t>2.11 Structured syntax should be enforced when syntax matters</w:t>
      </w:r>
    </w:p>
    <w:p>
      <w:r>
        <w:t>Structured-output research shows constrained decoding can guarantee many schema constraints, while unconstrained models still struggle to emit valid structured outputs. Constrained decoding itself can affect quality, so it should be tested rather than assumed neutral. [19]</w:t>
      </w:r>
    </w:p>
    <w:p>
      <w:r>
        <w:rPr>
          <w:b/>
        </w:rPr>
        <w:t>P-GLL / harness response: use grammar/schema enforcement for machine contracts; leave semantic correctness to verification.</w:t>
      </w:r>
    </w:p>
    <w:p>
      <w:pPr>
        <w:pStyle w:val="Heading2"/>
      </w:pPr>
      <w:r>
        <w:t>2.12 Small models benefit from direct, explicit task framing</w:t>
      </w:r>
    </w:p>
    <w:p>
      <w:r>
        <w:t>Research on prompt optimization with smaller models reports limited value from asking small models to optimize prompts themselves, recommending clear direct instructions and objectives as robust baselines. [20]</w:t>
      </w:r>
    </w:p>
    <w:p>
      <w:r>
        <w:rPr>
          <w:b/>
        </w:rPr>
        <w:t>P-GLL / harness response: P-GLL should remove interpretive work before inference rather than ask a small model to invent its own operating procedure.</w:t>
      </w:r>
    </w:p>
    <w:p>
      <w:pPr>
        <w:pStyle w:val="Heading1"/>
      </w:pPr>
      <w:r>
        <w:t>3. P-GLL Interpretation of the Research</w:t>
      </w:r>
    </w:p>
    <w:p>
      <w:r>
        <w:t>The published behavior patterns map cleanly onto existing P-GLL design laws. The most important adaptation is to treat model interaction as compilation from stable semantics into a capability-appropriate packet, while retaining evidence and coverage state outside the model.</w:t>
      </w:r>
    </w:p>
    <w:p>
      <w:pPr>
        <w:pStyle w:val="PGLLCode"/>
      </w:pPr>
      <w:r>
        <w:t>CANONICAL_SEMANTICS</w:t>
      </w:r>
      <w:r>
        <w:br/>
      </w:r>
      <w:r>
        <w:t xml:space="preserve">  -&gt; MODEL_PROFILE</w:t>
      </w:r>
      <w:r>
        <w:br/>
      </w:r>
      <w:r>
        <w:t xml:space="preserve">  -&gt; P_GLL_REHYDRATION_DEPTH</w:t>
      </w:r>
      <w:r>
        <w:br/>
      </w:r>
      <w:r>
        <w:t xml:space="preserve">  -&gt; BOUNDED_CONTEXT_PACKET</w:t>
      </w:r>
      <w:r>
        <w:br/>
      </w:r>
      <w:r>
        <w:t xml:space="preserve">  -&gt; MODEL_PASS</w:t>
      </w:r>
      <w:r>
        <w:br/>
      </w:r>
      <w:r>
        <w:t xml:space="preserve">  -&gt; RECEIPT</w:t>
      </w:r>
      <w:r>
        <w:br/>
      </w:r>
      <w:r>
        <w:t xml:space="preserve">  -&gt; VERIFICATION</w:t>
      </w:r>
      <w:r>
        <w:br/>
      </w:r>
      <w:r>
        <w:t xml:space="preserve">  -&gt; RLL_GAP_WORKSET</w:t>
      </w:r>
      <w:r>
        <w:br/>
      </w:r>
      <w:r>
        <w:t xml:space="preserve">  -&gt; NEXT_PASS_OR_CLOSE</w:t>
      </w:r>
    </w:p>
    <w:p>
      <w:r>
        <w:t>P-GLL L0/L1/L2 should be treated as representation levels, not capability grades. The same semantics may be expressed in human prose, expanded structured P-GLL, or compressed P-GLL. A weaker model may require more expansion; a stronger model may operate safely from a denser packet. Compression must not remove normative meaning.</w:t>
      </w:r>
    </w:p>
    <w:p>
      <w:r>
        <w:t>The key harness rule is that context loading and corpus coverage are different operations. P-GLL already permits minimum sufficient context for bounded tasks; RLL adds a manifest that proves whether all required source regions have eventually been accounted for.</w:t>
      </w:r>
    </w:p>
    <w:p>
      <w:pPr>
        <w:pStyle w:val="PGLLCode"/>
      </w:pPr>
      <w:r>
        <w:t>MINIMUM_SUFFICIENT_CONTEXT != INCOMPLETE_SOURCE_ACCOUNTING</w:t>
      </w:r>
      <w:r>
        <w:br/>
      </w:r>
      <w:r/>
      <w:r>
        <w:br/>
      </w:r>
      <w:r>
        <w:t>LOCAL_PASS_MAY_READ_SUBSET</w:t>
      </w:r>
      <w:r>
        <w:br/>
      </w:r>
      <w:r>
        <w:t>GLOBAL_CLOSURE_REQUIRES_ALL_REQUIRED_REGIONS_ACCOUNTED_FOR</w:t>
      </w:r>
    </w:p>
    <w:p>
      <w:pPr>
        <w:pStyle w:val="Heading1"/>
      </w:pPr>
      <w:r>
        <w:t>4. Model-Band Starting Priors</w:t>
      </w:r>
    </w:p>
    <w:tbl>
      <w:tblPr>
        <w:tblW w:type="auto" w:w="0"/>
        <w:jc w:val="center"/>
        <w:tblLayout w:type="fixed"/>
        <w:tblLook w:firstColumn="1" w:firstRow="1" w:lastColumn="0" w:lastRow="0" w:noHBand="0" w:noVBand="1" w:val="04A0"/>
      </w:tblPr>
      <w:tblGrid>
        <w:gridCol w:w="9936"/>
      </w:tblGrid>
      <w:tr>
        <w:tc>
          <w:tcPr>
            <w:tcW w:type="dxa" w:w="9072"/>
            <w:shd w:fill="FFF2CC"/>
            <w:tcMar>
              <w:top w:w="130" w:type="dxa"/>
              <w:start w:w="160" w:type="dxa"/>
              <w:bottom w:w="130" w:type="dxa"/>
              <w:end w:w="160" w:type="dxa"/>
            </w:tcMar>
          </w:tcPr>
          <w:p>
            <w:r>
              <w:rPr>
                <w:b/>
                <w:sz w:val="22"/>
              </w:rPr>
              <w:t>Important</w:t>
            </w:r>
          </w:p>
          <w:p>
            <w:pPr>
              <w:spacing w:after="0"/>
            </w:pPr>
            <w:r>
              <w:t>These bands are engineering priors for experiment design. Training data, post-training, architecture, quantization, reasoning mode, context training, and tool tuning can move a model far above or below the expected behavior of its parameter band. A measured model profile always overrides this table.</w:t>
            </w:r>
          </w:p>
        </w:tc>
      </w:tr>
    </w:tbl>
    <w:p>
      <w:pPr>
        <w:spacing w:after="40"/>
      </w:pPr>
    </w:p>
    <w:p>
      <w:pPr>
        <w:pStyle w:val="Heading2"/>
      </w:pPr>
      <w:r>
        <w:t>&lt;=4B</w:t>
      </w:r>
    </w:p>
    <w:p>
      <w:r>
        <w:t>Expected strengths: Best at tightly bounded classification, extraction, routing among curated choices, template filling, local code edits, and short semantic transformations. Can be surprisingly capable when ambiguity is externally removed.</w:t>
      </w:r>
    </w:p>
    <w:p>
      <w:r>
        <w:t>Prompt posture: Prefer expanded L1 P-GLL. One semantic objective per pass. Small source regions. Explicit allowed outputs, non-goals, evidence fields, and stop state.</w:t>
      </w:r>
    </w:p>
    <w:p>
      <w:r>
        <w:t>Default risk: Global document synthesis, open-ended architecture, broad tool selection, self-qualification, and long recursive reasoning should be harness-decomposed.</w:t>
      </w:r>
    </w:p>
    <w:p>
      <w:r>
        <w:t>RLL posture: Use strict RLL: region map -&gt; independent region passes -&gt; claim/evidence ledger -&gt; coverage audit -&gt; bounded reconciliation.</w:t>
      </w:r>
    </w:p>
    <w:p>
      <w:pPr>
        <w:pStyle w:val="Heading2"/>
      </w:pPr>
      <w:r>
        <w:t>5B-10B</w:t>
      </w:r>
    </w:p>
    <w:p>
      <w:r>
        <w:t>Expected strengths: Often capable of useful coding, document analysis, retrieval, and short tool chains when contracts are explicit.</w:t>
      </w:r>
    </w:p>
    <w:p>
      <w:r>
        <w:t>Prompt posture: Expanded or compact L1. Selective anchors with inline expansion. Keep toolsets curated and task-local.</w:t>
      </w:r>
    </w:p>
    <w:p>
      <w:r>
        <w:t>Default risk: Long-horizon plan stability, cross-document aggregation, and ambiguous tool choice remain high-risk.</w:t>
      </w:r>
    </w:p>
    <w:p>
      <w:r>
        <w:t>RLL posture: Use RLL for multi-section documents and any claim-rich research. Separate generator and verifier passes.</w:t>
      </w:r>
    </w:p>
    <w:p>
      <w:pPr>
        <w:pStyle w:val="Heading2"/>
      </w:pPr>
      <w:r>
        <w:t>11B-20B</w:t>
      </w:r>
    </w:p>
    <w:p>
      <w:r>
        <w:t>Expected strengths: Can often handle larger sections, more constraints, richer synthesis, and moderate agent loops.</w:t>
      </w:r>
    </w:p>
    <w:p>
      <w:r>
        <w:t>Prompt posture: Standard L1 with selective L2 references. Allow larger semantic neighborhoods but preserve explicit evidence and convergence rules.</w:t>
      </w:r>
    </w:p>
    <w:p>
      <w:r>
        <w:t>Default risk: May produce convincing global summaries while missing regions or promoting inference to evidence. Self-review remains insufficient as sole QA.</w:t>
      </w:r>
    </w:p>
    <w:p>
      <w:r>
        <w:t>RLL posture: Use coverage manifests and evidence-bound verification. Permit multi-region synthesis only after region receipts exist.</w:t>
      </w:r>
    </w:p>
    <w:p>
      <w:pPr>
        <w:pStyle w:val="Heading2"/>
      </w:pPr>
      <w:r>
        <w:t>21B-40B</w:t>
      </w:r>
    </w:p>
    <w:p>
      <w:r>
        <w:t>Expected strengths: Strong local class for substantial engineering, research synthesis, coding, and tool use. Can often work from compressed packets and recover from failures.</w:t>
      </w:r>
    </w:p>
    <w:p>
      <w:r>
        <w:t>Prompt posture: Compact L1 / L2 hybrid. Expand only disputed or unfamiliar anchors. Larger work packets are reasonable after qualification.</w:t>
      </w:r>
    </w:p>
    <w:p>
      <w:r>
        <w:t>Default risk: Still subject to long-context degradation, tool reliability variance, citation gaps, and self-judge bias.</w:t>
      </w:r>
    </w:p>
    <w:p>
      <w:r>
        <w:t>RLL posture: Use RLL for long/high-value sources, pass^k reliability testing for agents, and independent or evidence-driven verification.</w:t>
      </w:r>
    </w:p>
    <w:p>
      <w:pPr>
        <w:pStyle w:val="Heading2"/>
      </w:pPr>
      <w:r>
        <w:t>Frontier class</w:t>
      </w:r>
    </w:p>
    <w:p>
      <w:r>
        <w:t>Expected strengths: Highest probability of success on ambiguous synthesis, long-context reasoning, difficult coding, research planning, and reconciliation.</w:t>
      </w:r>
    </w:p>
    <w:p>
      <w:r>
        <w:t>Prompt posture: Dense L2 or natural-language + structured contract often sufficient; use expanded P-GLL when authority/evidence boundaries matter.</w:t>
      </w:r>
    </w:p>
    <w:p>
      <w:r>
        <w:t>Default risk: Not immune to long-context position effects, constraint drift, incomplete citations, agent inconsistency, or judge bias.</w:t>
      </w:r>
    </w:p>
    <w:p>
      <w:r>
        <w:t>RLL posture: Use fewer/larger passes when qualified, but retain evidence ledger, deterministic validators, snapshot staleness, and independent acceptance for consequential work.</w:t>
      </w:r>
    </w:p>
    <w:p>
      <w:pPr>
        <w:pStyle w:val="Heading1"/>
      </w:pPr>
      <w:r>
        <w:t>5. Task-Specific Expectations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D9EAF7"/>
            <w:tcMar>
              <w:top w:w="90" w:type="dxa"/>
              <w:start w:w="90" w:type="dxa"/>
              <w:bottom w:w="90" w:type="dxa"/>
              <w:end w:w="90" w:type="dxa"/>
            </w:tcMar>
            <w:vAlign w:val="center"/>
          </w:tcPr>
          <w:p>
            <w:pPr>
              <w:jc w:val="center"/>
            </w:pPr>
            <w:r>
              <w:rPr>
                <w:b/>
                <w:sz w:val="17"/>
              </w:rPr>
              <w:t>Task</w:t>
            </w:r>
          </w:p>
        </w:tc>
        <w:tc>
          <w:tcPr>
            <w:tcW w:type="dxa" w:w="3528"/>
            <w:shd w:fill="D9EAF7"/>
            <w:tcMar>
              <w:top w:w="90" w:type="dxa"/>
              <w:start w:w="90" w:type="dxa"/>
              <w:bottom w:w="90" w:type="dxa"/>
              <w:end w:w="90" w:type="dxa"/>
            </w:tcMar>
            <w:vAlign w:val="center"/>
          </w:tcPr>
          <w:p>
            <w:pPr>
              <w:jc w:val="center"/>
            </w:pPr>
            <w:r>
              <w:rPr>
                <w:b/>
                <w:sz w:val="17"/>
              </w:rPr>
              <w:t>Recurring model behavior</w:t>
            </w:r>
          </w:p>
        </w:tc>
        <w:tc>
          <w:tcPr>
            <w:tcW w:type="dxa" w:w="3816"/>
            <w:shd w:fill="D9EAF7"/>
            <w:tcMar>
              <w:top w:w="90" w:type="dxa"/>
              <w:start w:w="90" w:type="dxa"/>
              <w:bottom w:w="90" w:type="dxa"/>
              <w:end w:w="90" w:type="dxa"/>
            </w:tcMar>
            <w:vAlign w:val="center"/>
          </w:tcPr>
          <w:p>
            <w:pPr>
              <w:jc w:val="center"/>
            </w:pPr>
            <w:r>
              <w:rPr>
                <w:b/>
                <w:sz w:val="17"/>
              </w:rPr>
              <w:t>Harness/P-GLL compensation</w:t>
            </w:r>
          </w:p>
        </w:tc>
      </w:tr>
      <w:tr>
        <w:tc>
          <w:tcPr>
            <w:tcW w:type="dxa" w:w="1800"/>
            <w:tcMar>
              <w:top w:w="85" w:type="dxa"/>
              <w:start w:w="90" w:type="dxa"/>
              <w:bottom w:w="85" w:type="dxa"/>
              <w:end w:w="90" w:type="dxa"/>
            </w:tcMar>
            <w:vAlign w:val="center"/>
          </w:tcPr>
          <w:p>
            <w:pPr>
              <w:jc w:val="left"/>
            </w:pPr>
            <w:r>
              <w:rPr>
                <w:sz w:val="17"/>
              </w:rPr>
              <w:t>Research / source synthesis</w:t>
            </w:r>
          </w:p>
        </w:tc>
        <w:tc>
          <w:tcPr>
            <w:tcW w:type="dxa" w:w="3528"/>
            <w:tcMar>
              <w:top w:w="85" w:type="dxa"/>
              <w:start w:w="90" w:type="dxa"/>
              <w:bottom w:w="85" w:type="dxa"/>
              <w:end w:w="90" w:type="dxa"/>
            </w:tcMar>
            <w:vAlign w:val="center"/>
          </w:tcPr>
          <w:p>
            <w:pPr>
              <w:jc w:val="left"/>
            </w:pPr>
            <w:r>
              <w:rPr>
                <w:sz w:val="17"/>
              </w:rPr>
              <w:t>Retrieval can look stronger than full evidence integration. Long reports may omit support or merge inference with source facts.</w:t>
            </w:r>
          </w:p>
        </w:tc>
        <w:tc>
          <w:tcPr>
            <w:tcW w:type="dxa" w:w="3816"/>
            <w:tcMar>
              <w:top w:w="85" w:type="dxa"/>
              <w:start w:w="90" w:type="dxa"/>
              <w:bottom w:w="85" w:type="dxa"/>
              <w:end w:w="90" w:type="dxa"/>
            </w:tcMar>
            <w:vAlign w:val="center"/>
          </w:tcPr>
          <w:p>
            <w:pPr>
              <w:jc w:val="left"/>
            </w:pPr>
            <w:r>
              <w:rPr>
                <w:sz w:val="17"/>
              </w:rPr>
              <w:t>Source manifest; claim ledger; citation entailment; cross-source contradiction pass; dated verified snapshot.</w:t>
            </w:r>
          </w:p>
        </w:tc>
      </w:tr>
      <w:tr>
        <w:tc>
          <w:tcPr>
            <w:tcW w:type="dxa" w:w="1800"/>
            <w:tcMar>
              <w:top w:w="85" w:type="dxa"/>
              <w:start w:w="90" w:type="dxa"/>
              <w:bottom w:w="85" w:type="dxa"/>
              <w:end w:w="90" w:type="dxa"/>
            </w:tcMar>
            <w:vAlign w:val="center"/>
          </w:tcPr>
          <w:p>
            <w:pPr>
              <w:jc w:val="center"/>
            </w:pPr>
            <w:r>
              <w:rPr>
                <w:sz w:val="17"/>
              </w:rPr>
              <w:t>Documentation</w:t>
            </w:r>
          </w:p>
        </w:tc>
        <w:tc>
          <w:tcPr>
            <w:tcW w:type="dxa" w:w="3528"/>
            <w:tcMar>
              <w:top w:w="85" w:type="dxa"/>
              <w:start w:w="90" w:type="dxa"/>
              <w:bottom w:w="85" w:type="dxa"/>
              <w:end w:w="90" w:type="dxa"/>
            </w:tcMar>
            <w:vAlign w:val="center"/>
          </w:tcPr>
          <w:p>
            <w:pPr>
              <w:jc w:val="left"/>
            </w:pPr>
            <w:r>
              <w:rPr>
                <w:sz w:val="17"/>
              </w:rPr>
              <w:t>Fluent structure is easy; complete requirement coverage and long-output constraint adherence are harder.</w:t>
            </w:r>
          </w:p>
        </w:tc>
        <w:tc>
          <w:tcPr>
            <w:tcW w:type="dxa" w:w="3816"/>
            <w:tcMar>
              <w:top w:w="85" w:type="dxa"/>
              <w:start w:w="90" w:type="dxa"/>
              <w:bottom w:w="85" w:type="dxa"/>
              <w:end w:w="90" w:type="dxa"/>
            </w:tcMar>
            <w:vAlign w:val="center"/>
          </w:tcPr>
          <w:p>
            <w:pPr>
              <w:jc w:val="left"/>
            </w:pPr>
            <w:r>
              <w:rPr>
                <w:sz w:val="17"/>
              </w:rPr>
              <w:t>Outline/requirement manifest; section receipts; deterministic required-field checks; final coverage audit.</w:t>
            </w:r>
          </w:p>
        </w:tc>
      </w:tr>
      <w:tr>
        <w:tc>
          <w:tcPr>
            <w:tcW w:type="dxa" w:w="1800"/>
            <w:tcMar>
              <w:top w:w="85" w:type="dxa"/>
              <w:start w:w="90" w:type="dxa"/>
              <w:bottom w:w="85" w:type="dxa"/>
              <w:end w:w="90" w:type="dxa"/>
            </w:tcMar>
            <w:vAlign w:val="center"/>
          </w:tcPr>
          <w:p>
            <w:pPr>
              <w:jc w:val="center"/>
            </w:pPr>
            <w:r>
              <w:rPr>
                <w:sz w:val="17"/>
              </w:rPr>
              <w:t>QA / verification</w:t>
            </w:r>
          </w:p>
        </w:tc>
        <w:tc>
          <w:tcPr>
            <w:tcW w:type="dxa" w:w="3528"/>
            <w:tcMar>
              <w:top w:w="85" w:type="dxa"/>
              <w:start w:w="90" w:type="dxa"/>
              <w:bottom w:w="85" w:type="dxa"/>
              <w:end w:w="90" w:type="dxa"/>
            </w:tcMar>
            <w:vAlign w:val="center"/>
          </w:tcPr>
          <w:p>
            <w:pPr>
              <w:jc w:val="left"/>
            </w:pPr>
            <w:r>
              <w:rPr>
                <w:sz w:val="17"/>
              </w:rPr>
              <w:t>Model may confirm itself, over-correct under adversarial wording, or use plausibility as evidence.</w:t>
            </w:r>
          </w:p>
        </w:tc>
        <w:tc>
          <w:tcPr>
            <w:tcW w:type="dxa" w:w="3816"/>
            <w:tcMar>
              <w:top w:w="85" w:type="dxa"/>
              <w:start w:w="90" w:type="dxa"/>
              <w:bottom w:w="85" w:type="dxa"/>
              <w:end w:w="90" w:type="dxa"/>
            </w:tcMar>
            <w:vAlign w:val="center"/>
          </w:tcPr>
          <w:p>
            <w:pPr>
              <w:jc w:val="left"/>
            </w:pPr>
            <w:r>
              <w:rPr>
                <w:sz w:val="17"/>
              </w:rPr>
              <w:t>Neutral verdicts; evidence IDs; source-only support; generator/verifier role isolation; NOT_DETERMINABLE as valid outcome.</w:t>
            </w:r>
          </w:p>
        </w:tc>
      </w:tr>
      <w:tr>
        <w:tc>
          <w:tcPr>
            <w:tcW w:type="dxa" w:w="1800"/>
            <w:tcMar>
              <w:top w:w="85" w:type="dxa"/>
              <w:start w:w="90" w:type="dxa"/>
              <w:bottom w:w="85" w:type="dxa"/>
              <w:end w:w="90" w:type="dxa"/>
            </w:tcMar>
            <w:vAlign w:val="center"/>
          </w:tcPr>
          <w:p>
            <w:pPr>
              <w:jc w:val="center"/>
            </w:pPr>
            <w:r>
              <w:rPr>
                <w:sz w:val="17"/>
              </w:rPr>
              <w:t>Tool use / agents</w:t>
            </w:r>
          </w:p>
        </w:tc>
        <w:tc>
          <w:tcPr>
            <w:tcW w:type="dxa" w:w="3528"/>
            <w:tcMar>
              <w:top w:w="85" w:type="dxa"/>
              <w:start w:w="90" w:type="dxa"/>
              <w:bottom w:w="85" w:type="dxa"/>
              <w:end w:w="90" w:type="dxa"/>
            </w:tcMar>
            <w:vAlign w:val="center"/>
          </w:tcPr>
          <w:p>
            <w:pPr>
              <w:jc w:val="left"/>
            </w:pPr>
            <w:r>
              <w:rPr>
                <w:sz w:val="17"/>
              </w:rPr>
              <w:t>Correct tool on one run does not imply stable selection or policy compliance. Similar tools and longer trajectories increase risk.</w:t>
            </w:r>
          </w:p>
        </w:tc>
        <w:tc>
          <w:tcPr>
            <w:tcW w:type="dxa" w:w="3816"/>
            <w:tcMar>
              <w:top w:w="85" w:type="dxa"/>
              <w:start w:w="90" w:type="dxa"/>
              <w:bottom w:w="85" w:type="dxa"/>
              <w:end w:w="90" w:type="dxa"/>
            </w:tcMar>
            <w:vAlign w:val="center"/>
          </w:tcPr>
          <w:p>
            <w:pPr>
              <w:jc w:val="left"/>
            </w:pPr>
            <w:r>
              <w:rPr>
                <w:sz w:val="17"/>
              </w:rPr>
              <w:t>Curated tool packs; progressive disclosure; attempt budgets; end-state checks; fault injection; pass^k reliability.</w:t>
            </w:r>
          </w:p>
        </w:tc>
      </w:tr>
      <w:tr>
        <w:tc>
          <w:tcPr>
            <w:tcW w:type="dxa" w:w="1800"/>
            <w:tcMar>
              <w:top w:w="85" w:type="dxa"/>
              <w:start w:w="90" w:type="dxa"/>
              <w:bottom w:w="85" w:type="dxa"/>
              <w:end w:w="90" w:type="dxa"/>
            </w:tcMar>
            <w:vAlign w:val="center"/>
          </w:tcPr>
          <w:p>
            <w:pPr>
              <w:jc w:val="center"/>
            </w:pPr>
            <w:r>
              <w:rPr>
                <w:sz w:val="17"/>
              </w:rPr>
              <w:t>Engineering / code</w:t>
            </w:r>
          </w:p>
        </w:tc>
        <w:tc>
          <w:tcPr>
            <w:tcW w:type="dxa" w:w="3528"/>
            <w:tcMar>
              <w:top w:w="85" w:type="dxa"/>
              <w:start w:w="90" w:type="dxa"/>
              <w:bottom w:w="85" w:type="dxa"/>
              <w:end w:w="90" w:type="dxa"/>
            </w:tcMar>
            <w:vAlign w:val="center"/>
          </w:tcPr>
          <w:p>
            <w:pPr>
              <w:jc w:val="left"/>
            </w:pPr>
            <w:r>
              <w:rPr>
                <w:sz w:val="17"/>
              </w:rPr>
              <w:t>Models can implement local deltas well when owner, interface, tests, and scope are explicit; broad refactors invite architectural drift.</w:t>
            </w:r>
          </w:p>
        </w:tc>
        <w:tc>
          <w:tcPr>
            <w:tcW w:type="dxa" w:w="3816"/>
            <w:tcMar>
              <w:top w:w="85" w:type="dxa"/>
              <w:start w:w="90" w:type="dxa"/>
              <w:bottom w:w="85" w:type="dxa"/>
              <w:end w:w="90" w:type="dxa"/>
            </w:tcMar>
            <w:vAlign w:val="center"/>
          </w:tcPr>
          <w:p>
            <w:pPr>
              <w:jc w:val="left"/>
            </w:pPr>
            <w:r>
              <w:rPr>
                <w:sz w:val="17"/>
              </w:rPr>
              <w:t>P-GLL work packet; rightful owner; write mask; locked interfaces; deterministic tests; independent verification.</w:t>
            </w:r>
          </w:p>
        </w:tc>
      </w:tr>
      <w:tr>
        <w:tc>
          <w:tcPr>
            <w:tcW w:type="dxa" w:w="1800"/>
            <w:tcMar>
              <w:top w:w="85" w:type="dxa"/>
              <w:start w:w="90" w:type="dxa"/>
              <w:bottom w:w="85" w:type="dxa"/>
              <w:end w:w="90" w:type="dxa"/>
            </w:tcMar>
            <w:vAlign w:val="center"/>
          </w:tcPr>
          <w:p>
            <w:pPr>
              <w:jc w:val="center"/>
            </w:pPr>
            <w:r>
              <w:rPr>
                <w:sz w:val="17"/>
              </w:rPr>
              <w:t>Long documents</w:t>
            </w:r>
          </w:p>
        </w:tc>
        <w:tc>
          <w:tcPr>
            <w:tcW w:type="dxa" w:w="3528"/>
            <w:tcMar>
              <w:top w:w="85" w:type="dxa"/>
              <w:start w:w="90" w:type="dxa"/>
              <w:bottom w:w="85" w:type="dxa"/>
              <w:end w:w="90" w:type="dxa"/>
            </w:tcMar>
            <w:vAlign w:val="center"/>
          </w:tcPr>
          <w:p>
            <w:pPr>
              <w:jc w:val="left"/>
            </w:pPr>
            <w:r>
              <w:rPr>
                <w:sz w:val="17"/>
              </w:rPr>
              <w:t>Models may ignore middle regions, lose cross-section dependencies, or compress away caveats.</w:t>
            </w:r>
          </w:p>
        </w:tc>
        <w:tc>
          <w:tcPr>
            <w:tcW w:type="dxa" w:w="3816"/>
            <w:tcMar>
              <w:top w:w="85" w:type="dxa"/>
              <w:start w:w="90" w:type="dxa"/>
              <w:bottom w:w="85" w:type="dxa"/>
              <w:end w:w="90" w:type="dxa"/>
            </w:tcMar>
            <w:vAlign w:val="center"/>
          </w:tcPr>
          <w:p>
            <w:pPr>
              <w:jc w:val="left"/>
            </w:pPr>
            <w:r>
              <w:rPr>
                <w:sz w:val="17"/>
              </w:rPr>
              <w:t>Semantic chunking; region IDs; page/line provenance; RLL gap queue; cross-region merge only after coverage closure.</w:t>
            </w:r>
          </w:p>
        </w:tc>
      </w:tr>
    </w:tbl>
    <w:p>
      <w:pPr>
        <w:spacing w:after="40"/>
      </w:pPr>
    </w:p>
    <w:p>
      <w:pPr>
        <w:pStyle w:val="Heading1"/>
      </w:pPr>
      <w:r>
        <w:t>6. Recursive Loop Logic (RLL) as a Harness Skill</w:t>
      </w:r>
    </w:p>
    <w:p>
      <w:r>
        <w:t>RLL should be a harness-owned workflow, not a prompt asking the model to recursively think. The model performs bounded semantic roles; the harness owns the work queue, source coverage, evidence graph, pass boundaries, recursion budget, and closure conditions.</w:t>
      </w:r>
    </w:p>
    <w:p>
      <w:pPr>
        <w:pStyle w:val="PGLLCode"/>
      </w:pPr>
      <w:r>
        <w:t>RLL :=</w:t>
      </w:r>
      <w:r>
        <w:br/>
      </w:r>
      <w:r>
        <w:t xml:space="preserve">  SOURCE_MANIFEST</w:t>
      </w:r>
      <w:r>
        <w:br/>
      </w:r>
      <w:r>
        <w:t xml:space="preserve">  -&gt; REGION_ANALYSIS</w:t>
      </w:r>
      <w:r>
        <w:br/>
      </w:r>
      <w:r>
        <w:t xml:space="preserve">  -&gt; CLAIM_LEDGER</w:t>
      </w:r>
      <w:r>
        <w:br/>
      </w:r>
      <w:r>
        <w:t xml:space="preserve">  -&gt; EVIDENCE_VERIFICATION</w:t>
      </w:r>
      <w:r>
        <w:br/>
      </w:r>
      <w:r>
        <w:t xml:space="preserve">  -&gt; RECONCILIATION</w:t>
      </w:r>
      <w:r>
        <w:br/>
      </w:r>
      <w:r>
        <w:t xml:space="preserve">  -&gt; COVERAGE_AUDIT</w:t>
      </w:r>
      <w:r>
        <w:br/>
      </w:r>
      <w:r>
        <w:t xml:space="preserve">  -&gt; GAP_WORKSET</w:t>
      </w:r>
      <w:r>
        <w:br/>
      </w:r>
      <w:r>
        <w:t xml:space="preserve">  -&gt; LOOP_IF_REQUIRED</w:t>
      </w:r>
      <w:r>
        <w:br/>
      </w:r>
      <w:r>
        <w:t xml:space="preserve">  -&gt; VERIFIED_KNOWLEDGE_SNAPSHOT</w:t>
      </w:r>
    </w:p>
    <w:p>
      <w:pPr>
        <w:pStyle w:val="Heading2"/>
      </w:pPr>
      <w:r>
        <w:t>6.1 Pass roles</w:t>
      </w:r>
    </w:p>
    <w:p>
      <w:r>
        <w:rPr>
          <w:b/>
        </w:rPr>
        <w:t xml:space="preserve">SOURCE_MAPPER: </w:t>
      </w:r>
      <w:r>
        <w:t>Partition source material into stable semantic regions; record source IDs, section/page/line ranges, digest, and cross-references.</w:t>
      </w:r>
    </w:p>
    <w:p>
      <w:r>
        <w:rPr>
          <w:b/>
        </w:rPr>
        <w:t xml:space="preserve">REGION_ANALYST: </w:t>
      </w:r>
      <w:r>
        <w:t>Extract claims, requirements, decisions, unknowns, and evidence from one bounded region without global synthesis.</w:t>
      </w:r>
    </w:p>
    <w:p>
      <w:r>
        <w:rPr>
          <w:b/>
        </w:rPr>
        <w:t xml:space="preserve">FALSIFIER / VERIFIER: </w:t>
      </w:r>
      <w:r>
        <w:t>Classify claims as SUPPORTED, CONTRADICTED, or NOT_DETERMINABLE using evidence IDs; do not rewrite the report.</w:t>
      </w:r>
    </w:p>
    <w:p>
      <w:r>
        <w:rPr>
          <w:b/>
        </w:rPr>
        <w:t xml:space="preserve">RECONCILER: </w:t>
      </w:r>
      <w:r>
        <w:t>Apply verified deltas to the current interpretation; preserve conflicting evidence and unknowns.</w:t>
      </w:r>
    </w:p>
    <w:p>
      <w:r>
        <w:rPr>
          <w:b/>
        </w:rPr>
        <w:t xml:space="preserve">COVERAGE_AUDITOR: </w:t>
      </w:r>
      <w:r>
        <w:t>Compare the source manifest against region receipts and claim ledger; identify unprocessed or underrepresented regions.</w:t>
      </w:r>
    </w:p>
    <w:p>
      <w:r>
        <w:rPr>
          <w:b/>
        </w:rPr>
        <w:t xml:space="preserve">CLOSURE_CONTROLLER: </w:t>
      </w:r>
      <w:r>
        <w:t>Mechanically decide whether another loop is required or whether the snapshot can close.</w:t>
      </w:r>
    </w:p>
    <w:p>
      <w:pPr>
        <w:pStyle w:val="Heading2"/>
      </w:pPr>
      <w:r>
        <w:t>6.2 Gap-driven recursion</w:t>
      </w:r>
    </w:p>
    <w:p>
      <w:pPr>
        <w:pStyle w:val="PGLLCode"/>
      </w:pPr>
      <w:r>
        <w:t>NEXT_WORKSET :=</w:t>
      </w:r>
      <w:r>
        <w:br/>
      </w:r>
      <w:r>
        <w:t xml:space="preserve">  UNREAD_REQUIRED_REGIONS</w:t>
      </w:r>
      <w:r>
        <w:br/>
      </w:r>
      <w:r>
        <w:t xml:space="preserve">  + UNBOUND_MATERIAL_CLAIMS</w:t>
      </w:r>
      <w:r>
        <w:br/>
      </w:r>
      <w:r>
        <w:t xml:space="preserve">  + UNSUPPORTED_CLAIMS</w:t>
      </w:r>
      <w:r>
        <w:br/>
      </w:r>
      <w:r>
        <w:t xml:space="preserve">  + CONTRADICTED_CLAIMS_REQUIRING_RECONCILIATION</w:t>
      </w:r>
      <w:r>
        <w:br/>
      </w:r>
      <w:r>
        <w:t xml:space="preserve">  + UNRESOLVED_CROSS_REFERENCES</w:t>
      </w:r>
      <w:r>
        <w:br/>
      </w:r>
      <w:r>
        <w:t xml:space="preserve">  + STALE_EVIDENCE</w:t>
      </w:r>
      <w:r>
        <w:br/>
      </w:r>
      <w:r>
        <w:t xml:space="preserve">  + VERIFIER_FINDINGS</w:t>
      </w:r>
      <w:r>
        <w:br/>
      </w:r>
      <w:r/>
      <w:r>
        <w:br/>
      </w:r>
      <w:r>
        <w:t>IF NEXT_WORKSET == EMPTY:</w:t>
      </w:r>
      <w:r>
        <w:br/>
      </w:r>
      <w:r>
        <w:t xml:space="preserve">  CLOSE</w:t>
      </w:r>
      <w:r>
        <w:br/>
      </w:r>
      <w:r>
        <w:t>ELSE:</w:t>
      </w:r>
      <w:r>
        <w:br/>
      </w:r>
      <w:r>
        <w:t xml:space="preserve">  RUN_NEXT_BOUNDED_PASS</w:t>
      </w:r>
    </w:p>
    <w:p>
      <w:r>
        <w:t>The loop is not "analyze again." It is "identify the smallest unresolved evidence/coverage delta and process only that delta." This mirrors P-GLL diffusion: bounded work region, negative space, convergence target, and smallest coherent delta.</w:t>
      </w:r>
    </w:p>
    <w:p>
      <w:pPr>
        <w:pStyle w:val="Heading1"/>
      </w:pPr>
      <w:r>
        <w:t>7. Verified Knowledge Snapshot: the Durable RLL Artifact</w:t>
      </w:r>
    </w:p>
    <w:p>
      <w:r>
        <w:t>The durable artifact should be the closest available evidence-backed representation of the source set as of a specific date, not an assertion of permanent truth. New evidence is appended to the evidence ledger; the current verified interpretation is regenerated or reconciled from claim state.</w:t>
      </w:r>
    </w:p>
    <w:p>
      <w:pPr>
        <w:pStyle w:val="PGLLCode"/>
      </w:pPr>
      <w:r>
        <w:t>VERIFIED_KNOWLEDGE_SNAPSHOT := {</w:t>
      </w:r>
      <w:r>
        <w:br/>
      </w:r>
      <w:r>
        <w:t xml:space="preserve">  SNAPSHOT_ID,</w:t>
      </w:r>
      <w:r>
        <w:br/>
      </w:r>
      <w:r>
        <w:t xml:space="preserve">  CAPTURED_AT,</w:t>
      </w:r>
      <w:r>
        <w:br/>
      </w:r>
      <w:r>
        <w:t xml:space="preserve">  VERIFIED_AT,</w:t>
      </w:r>
      <w:r>
        <w:br/>
      </w:r>
      <w:r>
        <w:t xml:space="preserve">  SOURCE_MANIFEST,</w:t>
      </w:r>
      <w:r>
        <w:br/>
      </w:r>
      <w:r>
        <w:t xml:space="preserve">  SOURCE_DIGESTS,</w:t>
      </w:r>
      <w:r>
        <w:br/>
      </w:r>
      <w:r>
        <w:t xml:space="preserve">  COVERAGE_STATUS,</w:t>
      </w:r>
      <w:r>
        <w:br/>
      </w:r>
      <w:r>
        <w:t xml:space="preserve">  CLAIM_LEDGER,</w:t>
      </w:r>
      <w:r>
        <w:br/>
      </w:r>
      <w:r>
        <w:t xml:space="preserve">  EVIDENCE_LEDGER,</w:t>
      </w:r>
      <w:r>
        <w:br/>
      </w:r>
      <w:r>
        <w:t xml:space="preserve">  CONTRADICTIONS,</w:t>
      </w:r>
      <w:r>
        <w:br/>
      </w:r>
      <w:r>
        <w:t xml:space="preserve">  UNKNOWNS,</w:t>
      </w:r>
      <w:r>
        <w:br/>
      </w:r>
      <w:r>
        <w:t xml:space="preserve">  CURRENT_VERIFIED_SYNTHESIS,</w:t>
      </w:r>
      <w:r>
        <w:br/>
      </w:r>
      <w:r>
        <w:t xml:space="preserve">  DELTA_LOG,</w:t>
      </w:r>
      <w:r>
        <w:br/>
      </w:r>
      <w:r>
        <w:t xml:space="preserve">  STALE_IF</w:t>
      </w:r>
      <w:r>
        <w:br/>
      </w:r>
      <w:r>
        <w:t>}</w:t>
      </w:r>
      <w:r>
        <w:br/>
      </w:r>
      <w:r/>
      <w:r>
        <w:br/>
      </w:r>
      <w:r>
        <w:t>VERIFIED_SNAPSHOT != PERMANENT_TRUTH</w:t>
      </w:r>
    </w:p>
    <w:p>
      <w:r>
        <w:t>For future questions, Orion should query this snapshot first. If relevant claims are current and sufficiently supported, answer from the snapshot. If evidence is stale, contradictory, missing, or too compressed for the question, rehydrate only the relevant original regions, run an RLL delta, update the snapshot, and then answer.</w:t>
      </w:r>
    </w:p>
    <w:p>
      <w:pPr>
        <w:pStyle w:val="Heading1"/>
      </w:pPr>
      <w:r>
        <w:t>8. Failure Signatures and Harness Compensation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D9EAF7"/>
            <w:tcMar>
              <w:top w:w="90" w:type="dxa"/>
              <w:start w:w="90" w:type="dxa"/>
              <w:bottom w:w="90" w:type="dxa"/>
              <w:end w:w="90" w:type="dxa"/>
            </w:tcMar>
            <w:vAlign w:val="center"/>
          </w:tcPr>
          <w:p>
            <w:pPr>
              <w:jc w:val="center"/>
            </w:pPr>
            <w:r>
              <w:rPr>
                <w:b/>
                <w:sz w:val="17"/>
              </w:rPr>
              <w:t>Failure signature</w:t>
            </w:r>
          </w:p>
        </w:tc>
        <w:tc>
          <w:tcPr>
            <w:tcW w:type="dxa" w:w="3096"/>
            <w:shd w:fill="D9EAF7"/>
            <w:tcMar>
              <w:top w:w="90" w:type="dxa"/>
              <w:start w:w="90" w:type="dxa"/>
              <w:bottom w:w="90" w:type="dxa"/>
              <w:end w:w="90" w:type="dxa"/>
            </w:tcMar>
            <w:vAlign w:val="center"/>
          </w:tcPr>
          <w:p>
            <w:pPr>
              <w:jc w:val="center"/>
            </w:pPr>
            <w:r>
              <w:rPr>
                <w:b/>
                <w:sz w:val="17"/>
              </w:rPr>
              <w:t>Observed pattern</w:t>
            </w:r>
          </w:p>
        </w:tc>
        <w:tc>
          <w:tcPr>
            <w:tcW w:type="dxa" w:w="3816"/>
            <w:shd w:fill="D9EAF7"/>
            <w:tcMar>
              <w:top w:w="90" w:type="dxa"/>
              <w:start w:w="90" w:type="dxa"/>
              <w:bottom w:w="90" w:type="dxa"/>
              <w:end w:w="90" w:type="dxa"/>
            </w:tcMar>
            <w:vAlign w:val="center"/>
          </w:tcPr>
          <w:p>
            <w:pPr>
              <w:jc w:val="center"/>
            </w:pPr>
            <w:r>
              <w:rPr>
                <w:b/>
                <w:sz w:val="17"/>
              </w:rPr>
              <w:t>Harness response</w:t>
            </w:r>
          </w:p>
        </w:tc>
      </w:tr>
      <w:tr>
        <w:tc>
          <w:tcPr>
            <w:tcW w:type="dxa" w:w="2232"/>
            <w:tcMar>
              <w:top w:w="85" w:type="dxa"/>
              <w:start w:w="90" w:type="dxa"/>
              <w:bottom w:w="85" w:type="dxa"/>
              <w:end w:w="90" w:type="dxa"/>
            </w:tcMar>
            <w:vAlign w:val="center"/>
          </w:tcPr>
          <w:p>
            <w:pPr>
              <w:jc w:val="center"/>
            </w:pPr>
            <w:r>
              <w:rPr>
                <w:sz w:val="17"/>
              </w:rPr>
              <w:t>F.CONTEXT.POSITION</w:t>
            </w:r>
          </w:p>
        </w:tc>
        <w:tc>
          <w:tcPr>
            <w:tcW w:type="dxa" w:w="3096"/>
            <w:tcMar>
              <w:top w:w="85" w:type="dxa"/>
              <w:start w:w="90" w:type="dxa"/>
              <w:bottom w:w="85" w:type="dxa"/>
              <w:end w:w="90" w:type="dxa"/>
            </w:tcMar>
            <w:vAlign w:val="center"/>
          </w:tcPr>
          <w:p>
            <w:pPr>
              <w:jc w:val="left"/>
            </w:pPr>
            <w:r>
              <w:rPr>
                <w:sz w:val="17"/>
              </w:rPr>
              <w:t>Correct fact exists but model misses/underweights it in long input.</w:t>
            </w:r>
          </w:p>
        </w:tc>
        <w:tc>
          <w:tcPr>
            <w:tcW w:type="dxa" w:w="3816"/>
            <w:tcMar>
              <w:top w:w="85" w:type="dxa"/>
              <w:start w:w="90" w:type="dxa"/>
              <w:bottom w:w="85" w:type="dxa"/>
              <w:end w:w="90" w:type="dxa"/>
            </w:tcMar>
            <w:vAlign w:val="center"/>
          </w:tcPr>
          <w:p>
            <w:pPr>
              <w:jc w:val="left"/>
            </w:pPr>
            <w:r>
              <w:rPr>
                <w:sz w:val="17"/>
              </w:rPr>
              <w:t>Chunk by semantic region; rotate/independently process regions; coverage manifest.</w:t>
            </w:r>
          </w:p>
        </w:tc>
      </w:tr>
      <w:tr>
        <w:tc>
          <w:tcPr>
            <w:tcW w:type="dxa" w:w="2232"/>
            <w:tcMar>
              <w:top w:w="85" w:type="dxa"/>
              <w:start w:w="90" w:type="dxa"/>
              <w:bottom w:w="85" w:type="dxa"/>
              <w:end w:w="90" w:type="dxa"/>
            </w:tcMar>
            <w:vAlign w:val="center"/>
          </w:tcPr>
          <w:p>
            <w:pPr>
              <w:jc w:val="center"/>
            </w:pPr>
            <w:r>
              <w:rPr>
                <w:sz w:val="17"/>
              </w:rPr>
              <w:t>F.COVERAGE.GLOBAL</w:t>
            </w:r>
          </w:p>
        </w:tc>
        <w:tc>
          <w:tcPr>
            <w:tcW w:type="dxa" w:w="3096"/>
            <w:tcMar>
              <w:top w:w="85" w:type="dxa"/>
              <w:start w:w="90" w:type="dxa"/>
              <w:bottom w:w="85" w:type="dxa"/>
              <w:end w:w="90" w:type="dxa"/>
            </w:tcMar>
            <w:vAlign w:val="center"/>
          </w:tcPr>
          <w:p>
            <w:pPr>
              <w:jc w:val="left"/>
            </w:pPr>
            <w:r>
              <w:rPr>
                <w:sz w:val="17"/>
              </w:rPr>
              <w:t>Coherent summary omits whole sections or claim classes.</w:t>
            </w:r>
          </w:p>
        </w:tc>
        <w:tc>
          <w:tcPr>
            <w:tcW w:type="dxa" w:w="3816"/>
            <w:tcMar>
              <w:top w:w="85" w:type="dxa"/>
              <w:start w:w="90" w:type="dxa"/>
              <w:bottom w:w="85" w:type="dxa"/>
              <w:end w:w="90" w:type="dxa"/>
            </w:tcMar>
            <w:vAlign w:val="center"/>
          </w:tcPr>
          <w:p>
            <w:pPr>
              <w:jc w:val="left"/>
            </w:pPr>
            <w:r>
              <w:rPr>
                <w:sz w:val="17"/>
              </w:rPr>
              <w:t>Region receipts; required-section matrix; no global verdict without coverage closure.</w:t>
            </w:r>
          </w:p>
        </w:tc>
      </w:tr>
      <w:tr>
        <w:tc>
          <w:tcPr>
            <w:tcW w:type="dxa" w:w="2232"/>
            <w:tcMar>
              <w:top w:w="85" w:type="dxa"/>
              <w:start w:w="90" w:type="dxa"/>
              <w:bottom w:w="85" w:type="dxa"/>
              <w:end w:w="90" w:type="dxa"/>
            </w:tcMar>
            <w:vAlign w:val="center"/>
          </w:tcPr>
          <w:p>
            <w:pPr>
              <w:jc w:val="left"/>
            </w:pPr>
            <w:r>
              <w:rPr>
                <w:sz w:val="17"/>
              </w:rPr>
              <w:t>F.EVIDENCE.PLAUSIBILITY</w:t>
            </w:r>
          </w:p>
        </w:tc>
        <w:tc>
          <w:tcPr>
            <w:tcW w:type="dxa" w:w="3096"/>
            <w:tcMar>
              <w:top w:w="85" w:type="dxa"/>
              <w:start w:w="90" w:type="dxa"/>
              <w:bottom w:w="85" w:type="dxa"/>
              <w:end w:w="90" w:type="dxa"/>
            </w:tcMar>
            <w:vAlign w:val="center"/>
          </w:tcPr>
          <w:p>
            <w:pPr>
              <w:jc w:val="left"/>
            </w:pPr>
            <w:r>
              <w:rPr>
                <w:sz w:val="17"/>
              </w:rPr>
              <w:t>Plausible inference promoted to evidence.</w:t>
            </w:r>
          </w:p>
        </w:tc>
        <w:tc>
          <w:tcPr>
            <w:tcW w:type="dxa" w:w="3816"/>
            <w:tcMar>
              <w:top w:w="85" w:type="dxa"/>
              <w:start w:w="90" w:type="dxa"/>
              <w:bottom w:w="85" w:type="dxa"/>
              <w:end w:w="90" w:type="dxa"/>
            </w:tcMar>
            <w:vAlign w:val="center"/>
          </w:tcPr>
          <w:p>
            <w:pPr>
              <w:jc w:val="left"/>
            </w:pPr>
            <w:r>
              <w:rPr>
                <w:sz w:val="17"/>
              </w:rPr>
              <w:t>Claim-&gt;evidence IDs; entailment check; inference field separate from evidence field.</w:t>
            </w:r>
          </w:p>
        </w:tc>
      </w:tr>
      <w:tr>
        <w:tc>
          <w:tcPr>
            <w:tcW w:type="dxa" w:w="2232"/>
            <w:tcMar>
              <w:top w:w="85" w:type="dxa"/>
              <w:start w:w="90" w:type="dxa"/>
              <w:bottom w:w="85" w:type="dxa"/>
              <w:end w:w="90" w:type="dxa"/>
            </w:tcMar>
            <w:vAlign w:val="center"/>
          </w:tcPr>
          <w:p>
            <w:pPr>
              <w:jc w:val="center"/>
            </w:pPr>
            <w:r>
              <w:rPr>
                <w:sz w:val="17"/>
              </w:rPr>
              <w:t>F.EVIDENCE.ABSENCE</w:t>
            </w:r>
          </w:p>
        </w:tc>
        <w:tc>
          <w:tcPr>
            <w:tcW w:type="dxa" w:w="3096"/>
            <w:tcMar>
              <w:top w:w="85" w:type="dxa"/>
              <w:start w:w="90" w:type="dxa"/>
              <w:bottom w:w="85" w:type="dxa"/>
              <w:end w:w="90" w:type="dxa"/>
            </w:tcMar>
            <w:vAlign w:val="center"/>
          </w:tcPr>
          <w:p>
            <w:pPr>
              <w:jc w:val="left"/>
            </w:pPr>
            <w:r>
              <w:rPr>
                <w:sz w:val="17"/>
              </w:rPr>
              <w:t>Missing expected evidence promoted to contradiction/absence.</w:t>
            </w:r>
          </w:p>
        </w:tc>
        <w:tc>
          <w:tcPr>
            <w:tcW w:type="dxa" w:w="3816"/>
            <w:tcMar>
              <w:top w:w="85" w:type="dxa"/>
              <w:start w:w="90" w:type="dxa"/>
              <w:bottom w:w="85" w:type="dxa"/>
              <w:end w:w="90" w:type="dxa"/>
            </w:tcMar>
            <w:vAlign w:val="center"/>
          </w:tcPr>
          <w:p>
            <w:pPr>
              <w:jc w:val="left"/>
            </w:pPr>
            <w:r>
              <w:rPr>
                <w:sz w:val="17"/>
              </w:rPr>
              <w:t>Require positive counterevidence for CONTRADICTED; otherwise NOT_DETERMINABLE.</w:t>
            </w:r>
          </w:p>
        </w:tc>
      </w:tr>
      <w:tr>
        <w:tc>
          <w:tcPr>
            <w:tcW w:type="dxa" w:w="2232"/>
            <w:tcMar>
              <w:top w:w="85" w:type="dxa"/>
              <w:start w:w="90" w:type="dxa"/>
              <w:bottom w:w="85" w:type="dxa"/>
              <w:end w:w="90" w:type="dxa"/>
            </w:tcMar>
            <w:vAlign w:val="center"/>
          </w:tcPr>
          <w:p>
            <w:pPr>
              <w:jc w:val="center"/>
            </w:pPr>
            <w:r>
              <w:rPr>
                <w:sz w:val="17"/>
              </w:rPr>
              <w:t>F.VERIFY.CONFIRM</w:t>
            </w:r>
          </w:p>
        </w:tc>
        <w:tc>
          <w:tcPr>
            <w:tcW w:type="dxa" w:w="3096"/>
            <w:tcMar>
              <w:top w:w="85" w:type="dxa"/>
              <w:start w:w="90" w:type="dxa"/>
              <w:bottom w:w="85" w:type="dxa"/>
              <w:end w:w="90" w:type="dxa"/>
            </w:tcMar>
            <w:vAlign w:val="center"/>
          </w:tcPr>
          <w:p>
            <w:pPr>
              <w:jc w:val="left"/>
            </w:pPr>
            <w:r>
              <w:rPr>
                <w:sz w:val="17"/>
              </w:rPr>
              <w:t>Verifier trusts prior report/document coherence.</w:t>
            </w:r>
          </w:p>
        </w:tc>
        <w:tc>
          <w:tcPr>
            <w:tcW w:type="dxa" w:w="3816"/>
            <w:tcMar>
              <w:top w:w="85" w:type="dxa"/>
              <w:start w:w="90" w:type="dxa"/>
              <w:bottom w:w="85" w:type="dxa"/>
              <w:end w:w="90" w:type="dxa"/>
            </w:tcMar>
            <w:vAlign w:val="center"/>
          </w:tcPr>
          <w:p>
            <w:pPr>
              <w:jc w:val="left"/>
            </w:pPr>
            <w:r>
              <w:rPr>
                <w:sz w:val="17"/>
              </w:rPr>
              <w:t>Fresh verifier context; audit target cannot support itself; source/evidence only.</w:t>
            </w:r>
          </w:p>
        </w:tc>
      </w:tr>
      <w:tr>
        <w:tc>
          <w:tcPr>
            <w:tcW w:type="dxa" w:w="2232"/>
            <w:tcMar>
              <w:top w:w="85" w:type="dxa"/>
              <w:start w:w="90" w:type="dxa"/>
              <w:bottom w:w="85" w:type="dxa"/>
              <w:end w:w="90" w:type="dxa"/>
            </w:tcMar>
            <w:vAlign w:val="center"/>
          </w:tcPr>
          <w:p>
            <w:pPr>
              <w:jc w:val="left"/>
            </w:pPr>
            <w:r>
              <w:rPr>
                <w:sz w:val="17"/>
              </w:rPr>
              <w:t>F.VERIFY.ADVERSARIAL</w:t>
            </w:r>
          </w:p>
        </w:tc>
        <w:tc>
          <w:tcPr>
            <w:tcW w:type="dxa" w:w="3096"/>
            <w:tcMar>
              <w:top w:w="85" w:type="dxa"/>
              <w:start w:w="90" w:type="dxa"/>
              <w:bottom w:w="85" w:type="dxa"/>
              <w:end w:w="90" w:type="dxa"/>
            </w:tcMar>
            <w:vAlign w:val="center"/>
          </w:tcPr>
          <w:p>
            <w:pPr>
              <w:jc w:val="left"/>
            </w:pPr>
            <w:r>
              <w:rPr>
                <w:sz w:val="17"/>
              </w:rPr>
              <w:t>"Disprove" framing causes manufactured counterclaims.</w:t>
            </w:r>
          </w:p>
        </w:tc>
        <w:tc>
          <w:tcPr>
            <w:tcW w:type="dxa" w:w="3816"/>
            <w:tcMar>
              <w:top w:w="85" w:type="dxa"/>
              <w:start w:w="90" w:type="dxa"/>
              <w:bottom w:w="85" w:type="dxa"/>
              <w:end w:w="90" w:type="dxa"/>
            </w:tcMar>
            <w:vAlign w:val="center"/>
          </w:tcPr>
          <w:p>
            <w:pPr>
              <w:jc w:val="left"/>
            </w:pPr>
            <w:r>
              <w:rPr>
                <w:sz w:val="17"/>
              </w:rPr>
              <w:t>Neutral three-way verdict; symmetric burden for support and contradiction.</w:t>
            </w:r>
          </w:p>
        </w:tc>
      </w:tr>
      <w:tr>
        <w:tc>
          <w:tcPr>
            <w:tcW w:type="dxa" w:w="2232"/>
            <w:tcMar>
              <w:top w:w="85" w:type="dxa"/>
              <w:start w:w="90" w:type="dxa"/>
              <w:bottom w:w="85" w:type="dxa"/>
              <w:end w:w="90" w:type="dxa"/>
            </w:tcMar>
            <w:vAlign w:val="center"/>
          </w:tcPr>
          <w:p>
            <w:pPr>
              <w:jc w:val="center"/>
            </w:pPr>
            <w:r>
              <w:rPr>
                <w:sz w:val="17"/>
              </w:rPr>
              <w:t>F.SELF.BIAS</w:t>
            </w:r>
          </w:p>
        </w:tc>
        <w:tc>
          <w:tcPr>
            <w:tcW w:type="dxa" w:w="3096"/>
            <w:tcMar>
              <w:top w:w="85" w:type="dxa"/>
              <w:start w:w="90" w:type="dxa"/>
              <w:bottom w:w="85" w:type="dxa"/>
              <w:end w:w="90" w:type="dxa"/>
            </w:tcMar>
            <w:vAlign w:val="center"/>
          </w:tcPr>
          <w:p>
            <w:pPr>
              <w:jc w:val="left"/>
            </w:pPr>
            <w:r>
              <w:rPr>
                <w:sz w:val="17"/>
              </w:rPr>
              <w:t>Model favors its own generation or familiar style.</w:t>
            </w:r>
          </w:p>
        </w:tc>
        <w:tc>
          <w:tcPr>
            <w:tcW w:type="dxa" w:w="3816"/>
            <w:tcMar>
              <w:top w:w="85" w:type="dxa"/>
              <w:start w:w="90" w:type="dxa"/>
              <w:bottom w:w="85" w:type="dxa"/>
              <w:end w:w="90" w:type="dxa"/>
            </w:tcMar>
            <w:vAlign w:val="center"/>
          </w:tcPr>
          <w:p>
            <w:pPr>
              <w:jc w:val="left"/>
            </w:pPr>
            <w:r>
              <w:rPr>
                <w:sz w:val="17"/>
              </w:rPr>
              <w:t>Independent model when practical; blind comparison; deterministic/reference checks.</w:t>
            </w:r>
          </w:p>
        </w:tc>
      </w:tr>
      <w:tr>
        <w:tc>
          <w:tcPr>
            <w:tcW w:type="dxa" w:w="2232"/>
            <w:tcMar>
              <w:top w:w="85" w:type="dxa"/>
              <w:start w:w="90" w:type="dxa"/>
              <w:bottom w:w="85" w:type="dxa"/>
              <w:end w:w="90" w:type="dxa"/>
            </w:tcMar>
            <w:vAlign w:val="center"/>
          </w:tcPr>
          <w:p>
            <w:pPr>
              <w:jc w:val="center"/>
            </w:pPr>
            <w:r>
              <w:rPr>
                <w:sz w:val="17"/>
              </w:rPr>
              <w:t>F.TOOL.CONFUSION</w:t>
            </w:r>
          </w:p>
        </w:tc>
        <w:tc>
          <w:tcPr>
            <w:tcW w:type="dxa" w:w="3096"/>
            <w:tcMar>
              <w:top w:w="85" w:type="dxa"/>
              <w:start w:w="90" w:type="dxa"/>
              <w:bottom w:w="85" w:type="dxa"/>
              <w:end w:w="90" w:type="dxa"/>
            </w:tcMar>
            <w:vAlign w:val="center"/>
          </w:tcPr>
          <w:p>
            <w:pPr>
              <w:jc w:val="left"/>
            </w:pPr>
            <w:r>
              <w:rPr>
                <w:sz w:val="17"/>
              </w:rPr>
              <w:t>Wrong tool among similar or excessive tool choices.</w:t>
            </w:r>
          </w:p>
        </w:tc>
        <w:tc>
          <w:tcPr>
            <w:tcW w:type="dxa" w:w="3816"/>
            <w:tcMar>
              <w:top w:w="85" w:type="dxa"/>
              <w:start w:w="90" w:type="dxa"/>
              <w:bottom w:w="85" w:type="dxa"/>
              <w:end w:w="90" w:type="dxa"/>
            </w:tcMar>
            <w:vAlign w:val="center"/>
          </w:tcPr>
          <w:p>
            <w:pPr>
              <w:jc w:val="left"/>
            </w:pPr>
            <w:r>
              <w:rPr>
                <w:sz w:val="17"/>
              </w:rPr>
              <w:t>Role-scoped allow-list; progressive tool disclosure; measured tool-selection profile.</w:t>
            </w:r>
          </w:p>
        </w:tc>
      </w:tr>
      <w:tr>
        <w:tc>
          <w:tcPr>
            <w:tcW w:type="dxa" w:w="2232"/>
            <w:tcMar>
              <w:top w:w="85" w:type="dxa"/>
              <w:start w:w="90" w:type="dxa"/>
              <w:bottom w:w="85" w:type="dxa"/>
              <w:end w:w="90" w:type="dxa"/>
            </w:tcMar>
            <w:vAlign w:val="center"/>
          </w:tcPr>
          <w:p>
            <w:pPr>
              <w:jc w:val="center"/>
            </w:pPr>
            <w:r>
              <w:rPr>
                <w:sz w:val="17"/>
              </w:rPr>
              <w:t>F.AGENT.LOOP</w:t>
            </w:r>
          </w:p>
        </w:tc>
        <w:tc>
          <w:tcPr>
            <w:tcW w:type="dxa" w:w="3096"/>
            <w:tcMar>
              <w:top w:w="85" w:type="dxa"/>
              <w:start w:w="90" w:type="dxa"/>
              <w:bottom w:w="85" w:type="dxa"/>
              <w:end w:w="90" w:type="dxa"/>
            </w:tcMar>
            <w:vAlign w:val="center"/>
          </w:tcPr>
          <w:p>
            <w:pPr>
              <w:jc w:val="left"/>
            </w:pPr>
            <w:r>
              <w:rPr>
                <w:sz w:val="17"/>
              </w:rPr>
              <w:t>Retries without new evidence, repeated actions, or no-progress loops.</w:t>
            </w:r>
          </w:p>
        </w:tc>
        <w:tc>
          <w:tcPr>
            <w:tcW w:type="dxa" w:w="3816"/>
            <w:tcMar>
              <w:top w:w="85" w:type="dxa"/>
              <w:start w:w="90" w:type="dxa"/>
              <w:bottom w:w="85" w:type="dxa"/>
              <w:end w:w="90" w:type="dxa"/>
            </w:tcMar>
            <w:vAlign w:val="center"/>
          </w:tcPr>
          <w:p>
            <w:pPr>
              <w:jc w:val="left"/>
            </w:pPr>
            <w:r>
              <w:rPr>
                <w:sz w:val="17"/>
              </w:rPr>
              <w:t>Attempt budget; retry classification; no-progress sentinel; reconcile before retry.</w:t>
            </w:r>
          </w:p>
        </w:tc>
      </w:tr>
      <w:tr>
        <w:tc>
          <w:tcPr>
            <w:tcW w:type="dxa" w:w="2232"/>
            <w:tcMar>
              <w:top w:w="85" w:type="dxa"/>
              <w:start w:w="90" w:type="dxa"/>
              <w:bottom w:w="85" w:type="dxa"/>
              <w:end w:w="90" w:type="dxa"/>
            </w:tcMar>
            <w:vAlign w:val="center"/>
          </w:tcPr>
          <w:p>
            <w:pPr>
              <w:jc w:val="center"/>
            </w:pPr>
            <w:r>
              <w:rPr>
                <w:sz w:val="17"/>
              </w:rPr>
              <w:t>F.OUTPUT.SCHEMA</w:t>
            </w:r>
          </w:p>
        </w:tc>
        <w:tc>
          <w:tcPr>
            <w:tcW w:type="dxa" w:w="3096"/>
            <w:tcMar>
              <w:top w:w="85" w:type="dxa"/>
              <w:start w:w="90" w:type="dxa"/>
              <w:bottom w:w="85" w:type="dxa"/>
              <w:end w:w="90" w:type="dxa"/>
            </w:tcMar>
            <w:vAlign w:val="center"/>
          </w:tcPr>
          <w:p>
            <w:pPr>
              <w:jc w:val="left"/>
            </w:pPr>
            <w:r>
              <w:rPr>
                <w:sz w:val="17"/>
              </w:rPr>
              <w:t>Semantic answer is useful but machine shape is invalid.</w:t>
            </w:r>
          </w:p>
        </w:tc>
        <w:tc>
          <w:tcPr>
            <w:tcW w:type="dxa" w:w="3816"/>
            <w:tcMar>
              <w:top w:w="85" w:type="dxa"/>
              <w:start w:w="90" w:type="dxa"/>
              <w:bottom w:w="85" w:type="dxa"/>
              <w:end w:w="90" w:type="dxa"/>
            </w:tcMar>
            <w:vAlign w:val="center"/>
          </w:tcPr>
          <w:p>
            <w:pPr>
              <w:jc w:val="left"/>
            </w:pPr>
            <w:r>
              <w:rPr>
                <w:sz w:val="17"/>
              </w:rPr>
              <w:t>Constrained decoding / schema validator; semantic verifier separate.</w:t>
            </w:r>
          </w:p>
        </w:tc>
      </w:tr>
      <w:tr>
        <w:tc>
          <w:tcPr>
            <w:tcW w:type="dxa" w:w="2232"/>
            <w:tcMar>
              <w:top w:w="85" w:type="dxa"/>
              <w:start w:w="90" w:type="dxa"/>
              <w:bottom w:w="85" w:type="dxa"/>
              <w:end w:w="90" w:type="dxa"/>
            </w:tcMar>
            <w:vAlign w:val="center"/>
          </w:tcPr>
          <w:p>
            <w:pPr>
              <w:jc w:val="center"/>
            </w:pPr>
            <w:r>
              <w:rPr>
                <w:sz w:val="17"/>
              </w:rPr>
              <w:t>F.SNAPSHOT.STALE</w:t>
            </w:r>
          </w:p>
        </w:tc>
        <w:tc>
          <w:tcPr>
            <w:tcW w:type="dxa" w:w="3096"/>
            <w:tcMar>
              <w:top w:w="85" w:type="dxa"/>
              <w:start w:w="90" w:type="dxa"/>
              <w:bottom w:w="85" w:type="dxa"/>
              <w:end w:w="90" w:type="dxa"/>
            </w:tcMar>
            <w:vAlign w:val="center"/>
          </w:tcPr>
          <w:p>
            <w:pPr>
              <w:jc w:val="left"/>
            </w:pPr>
            <w:r>
              <w:rPr>
                <w:sz w:val="17"/>
              </w:rPr>
              <w:t>Old verified artifact treated as current.</w:t>
            </w:r>
          </w:p>
        </w:tc>
        <w:tc>
          <w:tcPr>
            <w:tcW w:type="dxa" w:w="3816"/>
            <w:tcMar>
              <w:top w:w="85" w:type="dxa"/>
              <w:start w:w="90" w:type="dxa"/>
              <w:bottom w:w="85" w:type="dxa"/>
              <w:end w:w="90" w:type="dxa"/>
            </w:tcMar>
            <w:vAlign w:val="center"/>
          </w:tcPr>
          <w:p>
            <w:pPr>
              <w:jc w:val="left"/>
            </w:pPr>
            <w:r>
              <w:rPr>
                <w:sz w:val="17"/>
              </w:rPr>
              <w:t>Source digests/version markers; staleness triggers; rehydration delta before use.</w:t>
            </w:r>
          </w:p>
        </w:tc>
      </w:tr>
      <w:tr>
        <w:tc>
          <w:tcPr>
            <w:tcW w:type="dxa" w:w="2232"/>
            <w:tcMar>
              <w:top w:w="85" w:type="dxa"/>
              <w:start w:w="90" w:type="dxa"/>
              <w:bottom w:w="85" w:type="dxa"/>
              <w:end w:w="90" w:type="dxa"/>
            </w:tcMar>
            <w:vAlign w:val="center"/>
          </w:tcPr>
          <w:p>
            <w:pPr>
              <w:jc w:val="center"/>
            </w:pPr>
            <w:r>
              <w:rPr>
                <w:sz w:val="17"/>
              </w:rPr>
              <w:t>F.COMPRESSION.LOSS</w:t>
            </w:r>
          </w:p>
        </w:tc>
        <w:tc>
          <w:tcPr>
            <w:tcW w:type="dxa" w:w="3096"/>
            <w:tcMar>
              <w:top w:w="85" w:type="dxa"/>
              <w:start w:w="90" w:type="dxa"/>
              <w:bottom w:w="85" w:type="dxa"/>
              <w:end w:w="90" w:type="dxa"/>
            </w:tcMar>
            <w:vAlign w:val="center"/>
          </w:tcPr>
          <w:p>
            <w:pPr>
              <w:jc w:val="left"/>
            </w:pPr>
            <w:r>
              <w:rPr>
                <w:sz w:val="17"/>
              </w:rPr>
              <w:t>L2 packet removes a caveat or boundary needed for the task.</w:t>
            </w:r>
          </w:p>
        </w:tc>
        <w:tc>
          <w:tcPr>
            <w:tcW w:type="dxa" w:w="3816"/>
            <w:tcMar>
              <w:top w:w="85" w:type="dxa"/>
              <w:start w:w="90" w:type="dxa"/>
              <w:bottom w:w="85" w:type="dxa"/>
              <w:end w:w="90" w:type="dxa"/>
            </w:tcMar>
            <w:vAlign w:val="center"/>
          </w:tcPr>
          <w:p>
            <w:pPr>
              <w:jc w:val="left"/>
            </w:pPr>
            <w:r>
              <w:rPr>
                <w:sz w:val="17"/>
              </w:rPr>
              <w:t>Semantic equivalence tests; expansion depth escalation; negative-space preservation.</w:t>
            </w:r>
          </w:p>
        </w:tc>
      </w:tr>
    </w:tbl>
    <w:p>
      <w:pPr>
        <w:spacing w:after="40"/>
      </w:pPr>
    </w:p>
    <w:p>
      <w:pPr>
        <w:pStyle w:val="Heading1"/>
      </w:pPr>
      <w:r>
        <w:t>9. Model Working Profile: What Orion Should Measure</w:t>
      </w:r>
    </w:p>
    <w:p>
      <w:r>
        <w:t>Every model should have two profiles: a runtime profile and a cognitive/P-GLL profile. Routing should require both.</w:t>
      </w:r>
    </w:p>
    <w:p>
      <w:pPr>
        <w:pStyle w:val="PGLLCode"/>
      </w:pPr>
      <w:r>
        <w:t>MODEL_WORKING_PROFILE :=</w:t>
      </w:r>
      <w:r>
        <w:br/>
      </w:r>
      <w:r>
        <w:t xml:space="preserve">  RUNTIME_PROFILE</w:t>
      </w:r>
      <w:r>
        <w:br/>
      </w:r>
      <w:r>
        <w:t xml:space="preserve">  + COGNITIVE_PROFILE</w:t>
      </w:r>
      <w:r>
        <w:br/>
      </w:r>
      <w:r/>
      <w:r>
        <w:br/>
      </w:r>
      <w:r>
        <w:t>RUNTIME_PROFILE := {</w:t>
      </w:r>
      <w:r>
        <w:br/>
      </w:r>
      <w:r>
        <w:t xml:space="preserve">  BACKEND,</w:t>
      </w:r>
      <w:r>
        <w:br/>
      </w:r>
      <w:r>
        <w:t xml:space="preserve">  QUALIFIED_EFFECTIVE_CONTEXT,</w:t>
      </w:r>
      <w:r>
        <w:br/>
      </w:r>
      <w:r>
        <w:t xml:space="preserve">  OUTPUT_LIMIT,</w:t>
      </w:r>
      <w:r>
        <w:br/>
      </w:r>
      <w:r>
        <w:t xml:space="preserve">  GPU/CPU_RESIDENCY,</w:t>
      </w:r>
      <w:r>
        <w:br/>
      </w:r>
      <w:r>
        <w:t xml:space="preserve">  LATENCY,</w:t>
      </w:r>
      <w:r>
        <w:br/>
      </w:r>
      <w:r>
        <w:t xml:space="preserve">  FAILURE_BEHAVIOR</w:t>
      </w:r>
      <w:r>
        <w:br/>
      </w:r>
      <w:r>
        <w:t>}</w:t>
      </w:r>
      <w:r>
        <w:br/>
      </w:r>
      <w:r/>
      <w:r>
        <w:br/>
      </w:r>
      <w:r>
        <w:t>COGNITIVE_PROFILE := {</w:t>
      </w:r>
      <w:r>
        <w:br/>
      </w:r>
      <w:r>
        <w:t xml:space="preserve">  TASK_CLASSES,</w:t>
      </w:r>
      <w:r>
        <w:br/>
      </w:r>
      <w:r>
        <w:t xml:space="preserve">  P_GLL_MINIMUM_RELIABLE_PACKET,</w:t>
      </w:r>
      <w:r>
        <w:br/>
      </w:r>
      <w:r>
        <w:t xml:space="preserve">  EXPANSION_DEPTH,</w:t>
      </w:r>
      <w:r>
        <w:br/>
      </w:r>
      <w:r>
        <w:t xml:space="preserve">  DOCUMENT_REGION_SIZE_CURVE,</w:t>
      </w:r>
      <w:r>
        <w:br/>
      </w:r>
      <w:r>
        <w:t xml:space="preserve">  CROSS_REGION_SYNTHESIS_ACCURACY,</w:t>
      </w:r>
      <w:r>
        <w:br/>
      </w:r>
      <w:r>
        <w:t xml:space="preserve">  CONSTRAINT_FOLLOWING,</w:t>
      </w:r>
      <w:r>
        <w:br/>
      </w:r>
      <w:r>
        <w:t xml:space="preserve">  TOOL_SELECTION,</w:t>
      </w:r>
      <w:r>
        <w:br/>
      </w:r>
      <w:r>
        <w:t xml:space="preserve">  RECOVERY_BEHAVIOR,</w:t>
      </w:r>
      <w:r>
        <w:br/>
      </w:r>
      <w:r>
        <w:t xml:space="preserve">  EVIDENCE_DISCIPLINE,</w:t>
      </w:r>
      <w:r>
        <w:br/>
      </w:r>
      <w:r>
        <w:t xml:space="preserve">  CITATION_PRECISION_RECALL,</w:t>
      </w:r>
      <w:r>
        <w:br/>
      </w:r>
      <w:r>
        <w:t xml:space="preserve">  SELF_VERIFICATION_CALIBRATION,</w:t>
      </w:r>
      <w:r>
        <w:br/>
      </w:r>
      <w:r>
        <w:t xml:space="preserve">  STRUCTURED_OUTPUT_VALIDITY,</w:t>
      </w:r>
      <w:r>
        <w:br/>
      </w:r>
      <w:r>
        <w:t xml:space="preserve">  PASS_K_RELIABILITY,</w:t>
      </w:r>
      <w:r>
        <w:br/>
      </w:r>
      <w:r>
        <w:t xml:space="preserve">  KNOWN_FAILURE_SIGNATURES,</w:t>
      </w:r>
      <w:r>
        <w:br/>
      </w:r>
      <w:r>
        <w:t xml:space="preserve">  ESCALATION_TRIGGERS</w:t>
      </w:r>
      <w:r>
        <w:br/>
      </w:r>
      <w:r>
        <w:t>}</w:t>
      </w:r>
    </w:p>
    <w:p>
      <w:r>
        <w:t>Do not store a single number called "context capability." At minimum, profile simple retrieval, multi-item retrieval, aggregation, cross-section reasoning, and long-form output separately. Public benchmarks consistently show that these do not fail at the same point. [1-5]</w:t>
      </w:r>
    </w:p>
    <w:p>
      <w:pPr>
        <w:pStyle w:val="Heading1"/>
      </w:pPr>
      <w:r>
        <w:t>10. Recommended Orion Benchmark Ladder</w:t>
      </w:r>
    </w:p>
    <w:p>
      <w:r>
        <w:t>Use real or faithfully reconstructed Orion-shaped tasks. Keep a development set for prompt/profile tuning and a holdout set for qualification. Compare every new harness mechanism against the simpler baseline, consistent with the Human-Agent Operating Guide.</w:t>
      </w:r>
    </w:p>
    <w:p>
      <w:pPr>
        <w:pStyle w:val="ListNumber"/>
      </w:pPr>
      <w:r>
        <w:rPr>
          <w:b/>
        </w:rPr>
        <w:t xml:space="preserve">B0 - Structured classification: </w:t>
      </w:r>
      <w:r>
        <w:t>Known answer key; VALID/INVALID/NOT_DETERMINABLE; tests ambiguity preservation.</w:t>
      </w:r>
    </w:p>
    <w:p>
      <w:pPr>
        <w:pStyle w:val="ListNumber"/>
      </w:pPr>
      <w:r>
        <w:rPr>
          <w:b/>
        </w:rPr>
        <w:t xml:space="preserve">B1 - Region extraction: </w:t>
      </w:r>
      <w:r>
        <w:t>One source region; claims/evidence/unknowns with exact provenance.</w:t>
      </w:r>
    </w:p>
    <w:p>
      <w:pPr>
        <w:pStyle w:val="ListNumber"/>
      </w:pPr>
      <w:r>
        <w:rPr>
          <w:b/>
        </w:rPr>
        <w:t xml:space="preserve">B2 - Distributed evidence: </w:t>
      </w:r>
      <w:r>
        <w:t>Same claim evidence placed at beginning/middle/end and across multiple regions.</w:t>
      </w:r>
    </w:p>
    <w:p>
      <w:pPr>
        <w:pStyle w:val="ListNumber"/>
      </w:pPr>
      <w:r>
        <w:rPr>
          <w:b/>
        </w:rPr>
        <w:t xml:space="preserve">B3 - Full-document coverage: </w:t>
      </w:r>
      <w:r>
        <w:t>Seed material facts/constraints across all sections; require coverage manifest and global synthesis.</w:t>
      </w:r>
    </w:p>
    <w:p>
      <w:pPr>
        <w:pStyle w:val="ListNumber"/>
      </w:pPr>
      <w:r>
        <w:rPr>
          <w:b/>
        </w:rPr>
        <w:t xml:space="preserve">B4 - Contradiction reconciliation: </w:t>
      </w:r>
      <w:r>
        <w:t>Conflicting sources with recency/provenance; require NOT_DETERMINABLE when unresolved.</w:t>
      </w:r>
    </w:p>
    <w:p>
      <w:pPr>
        <w:pStyle w:val="ListNumber"/>
      </w:pPr>
      <w:r>
        <w:rPr>
          <w:b/>
        </w:rPr>
        <w:t xml:space="preserve">B5 - Research report: </w:t>
      </w:r>
      <w:r>
        <w:t>Multi-source retrieval + claim ledger + citation completeness/entailment.</w:t>
      </w:r>
    </w:p>
    <w:p>
      <w:pPr>
        <w:pStyle w:val="ListNumber"/>
      </w:pPr>
      <w:r>
        <w:rPr>
          <w:b/>
        </w:rPr>
        <w:t xml:space="preserve">B6 - Verification: </w:t>
      </w:r>
      <w:r>
        <w:t>Audit a flawed candidate without directional confirm/disprove bias.</w:t>
      </w:r>
    </w:p>
    <w:p>
      <w:pPr>
        <w:pStyle w:val="ListNumber"/>
      </w:pPr>
      <w:r>
        <w:rPr>
          <w:b/>
        </w:rPr>
        <w:t xml:space="preserve">B7 - Tool selection: </w:t>
      </w:r>
      <w:r>
        <w:t>Curated similar tools, no-tool cases, failure injection, and end-state validation.</w:t>
      </w:r>
    </w:p>
    <w:p>
      <w:pPr>
        <w:pStyle w:val="ListNumber"/>
      </w:pPr>
      <w:r>
        <w:rPr>
          <w:b/>
        </w:rPr>
        <w:t xml:space="preserve">B8 - Agent recovery: </w:t>
      </w:r>
      <w:r>
        <w:t>Timeouts, partial responses, stale state, unknown outcomes; test reconcile-before-retry.</w:t>
      </w:r>
    </w:p>
    <w:p>
      <w:pPr>
        <w:pStyle w:val="ListNumber"/>
      </w:pPr>
      <w:r>
        <w:rPr>
          <w:b/>
        </w:rPr>
        <w:t xml:space="preserve">B9 - Engineering delta: </w:t>
      </w:r>
      <w:r>
        <w:t>Real bounded code/config change with owner, mask, tests, and independent verification.</w:t>
      </w:r>
    </w:p>
    <w:p>
      <w:pPr>
        <w:pStyle w:val="ListNumber"/>
      </w:pPr>
      <w:r>
        <w:rPr>
          <w:b/>
        </w:rPr>
        <w:t xml:space="preserve">B10 - RLL scale test: </w:t>
      </w:r>
      <w:r>
        <w:t>Increase source regions until coverage or evidence quality falls below threshold; tune recursion/chunk profile.</w:t>
      </w:r>
    </w:p>
    <w:p>
      <w:pPr>
        <w:pStyle w:val="Heading2"/>
      </w:pPr>
      <w:r>
        <w:t>10.1 Prompt treatments to compare</w:t>
      </w:r>
    </w:p>
    <w:p>
      <w:pPr>
        <w:pStyle w:val="PGLLCode"/>
      </w:pPr>
      <w:r>
        <w:t>P0 := RAW_NATURAL_LANGUAGE</w:t>
      </w:r>
      <w:r>
        <w:br/>
      </w:r>
      <w:r>
        <w:t>P1 := GOAL + GOAL_METRICS + WHAT_DONE_LOOKS_LIKE</w:t>
      </w:r>
      <w:r>
        <w:br/>
      </w:r>
      <w:r>
        <w:t>P2 := CORE_P_GLL</w:t>
      </w:r>
      <w:r>
        <w:br/>
      </w:r>
      <w:r>
        <w:t>P3 := CORE_P_GLL + EVIDENCE_CONTRACT</w:t>
      </w:r>
      <w:r>
        <w:br/>
      </w:r>
      <w:r>
        <w:t>P4 := P3 + RLL</w:t>
      </w:r>
      <w:r>
        <w:br/>
      </w:r>
      <w:r>
        <w:t>P5 := P4 + DETERMINISTIC_VALIDATORS/CONSTRAINED_OUTPUT</w:t>
      </w:r>
    </w:p>
    <w:p>
      <w:r>
        <w:t>Measure verified success, coverage, unsupported inference rate, citation precision/recall, latency, model calls, tool calls, tokens, retries, human review burden, and pass^k reliability. A more elaborate harness must earn its maintenance cost by outperforming the simpler baseline on the workload objective.</w:t>
      </w:r>
    </w:p>
    <w:p>
      <w:pPr>
        <w:pStyle w:val="Heading1"/>
      </w:pPr>
      <w:r>
        <w:t>11. Initial Chunking and Expansion Policy</w:t>
      </w:r>
    </w:p>
    <w:p>
      <w:r>
        <w:t>Do not define a universal number of pages per model. Page density varies too much, and context length is not the same as effective reasoning length. Use semantic sections as the primary unit, token count as the capacity control, and page/line ranges as provenance.</w:t>
      </w:r>
    </w:p>
    <w:p>
      <w:r>
        <w:t>A practical starting policy is adaptive rather than fixed: begin with small semantic regions, measure claim/coverage quality, then expand region size until verified quality degrades. The model profile stores the largest region size that remains above the target quality for each task class. Cross-region synthesis is qualified separately.</w:t>
      </w:r>
    </w:p>
    <w:p>
      <w:pPr>
        <w:pStyle w:val="PGLLCode"/>
      </w:pPr>
      <w:r>
        <w:t>REGION_SIZE := PROFILED_BY[</w:t>
      </w:r>
      <w:r>
        <w:br/>
      </w:r>
      <w:r>
        <w:t xml:space="preserve">  MODEL,</w:t>
      </w:r>
      <w:r>
        <w:br/>
      </w:r>
      <w:r>
        <w:t xml:space="preserve">  TASK_CLASS,</w:t>
      </w:r>
      <w:r>
        <w:br/>
      </w:r>
      <w:r>
        <w:t xml:space="preserve">  SOURCE_DENSITY,</w:t>
      </w:r>
      <w:r>
        <w:br/>
      </w:r>
      <w:r>
        <w:t xml:space="preserve">  REQUIRED_REASONING_DEPTH,</w:t>
      </w:r>
      <w:r>
        <w:br/>
      </w:r>
      <w:r>
        <w:t xml:space="preserve">  TOOL_CONTEXT_COST</w:t>
      </w:r>
      <w:r>
        <w:br/>
      </w:r>
      <w:r>
        <w:t>]</w:t>
      </w:r>
      <w:r>
        <w:br/>
      </w:r>
      <w:r/>
      <w:r>
        <w:br/>
      </w:r>
      <w:r>
        <w:t>REGION_SIZE != FIXED_PAGE_COUNT</w:t>
      </w:r>
      <w:r>
        <w:br/>
      </w:r>
      <w:r>
        <w:t>REGION_SIZE != ADVERTISED_CONTEXT</w:t>
      </w:r>
    </w:p>
    <w:p>
      <w:r>
        <w:t>For weaker models, compensate by increasing explicitness and decreasing simultaneous semantic obligations, not merely by shortening every input. For stronger models, allow denser packets and larger region groups only after they demonstrate coverage and evidence retention on holdout tasks.</w:t>
      </w:r>
    </w:p>
    <w:p>
      <w:pPr>
        <w:pStyle w:val="Heading1"/>
      </w:pPr>
      <w:r>
        <w:t>12. Orion-gz / Hermes Immediate Research Program</w:t>
      </w:r>
    </w:p>
    <w:p>
      <w:r>
        <w:t>The local Gemma experiment already illustrates why this profiling matters: the model was fast, used tools effectively, produced structured output, and recovered well, but one-pass archaeology promoted plausible inferences to evidence; an adversarial verifier overproduced contradictions; and a neutral verifier later overproduced support by treating coherence and partial evidence as sufficient. The appropriate conclusion is not "the model failed." The harness lacked a coverage/evidence recursion contract.</w:t>
      </w:r>
    </w:p>
    <w:p>
      <w:r>
        <w:t>The next Orion-gz research sequence should therefore be:</w:t>
      </w:r>
    </w:p>
    <w:p>
      <w:pPr>
        <w:ind w:left="259" w:hanging="259"/>
      </w:pPr>
      <w:r>
        <w:rPr>
          <w:b/>
        </w:rPr>
        <w:t xml:space="preserve">1. </w:t>
      </w:r>
      <w:r>
        <w:t>Implement RLL as a Hermes skill/workflow with a harness-owned source manifest, region receipts, claim/evidence ledger, gap queue, recursion budget, and closure check.</w:t>
      </w:r>
    </w:p>
    <w:p>
      <w:pPr>
        <w:ind w:left="259" w:hanging="259"/>
      </w:pPr>
      <w:r>
        <w:rPr>
          <w:b/>
        </w:rPr>
        <w:t xml:space="preserve">2. </w:t>
      </w:r>
      <w:r>
        <w:t>Run the same source-analysis corpus through Gemma with one-pass P-GLL versus RLL and measure coverage, unsupported inference, and latency.</w:t>
      </w:r>
    </w:p>
    <w:p>
      <w:pPr>
        <w:ind w:left="259" w:hanging="259"/>
      </w:pPr>
      <w:r>
        <w:rPr>
          <w:b/>
        </w:rPr>
        <w:t xml:space="preserve">3. </w:t>
      </w:r>
      <w:r>
        <w:t>Profile the maximum reliable semantic region size by task class rather than by one generic context-window number.</w:t>
      </w:r>
    </w:p>
    <w:p>
      <w:pPr>
        <w:ind w:left="259" w:hanging="259"/>
      </w:pPr>
      <w:r>
        <w:rPr>
          <w:b/>
        </w:rPr>
        <w:t xml:space="preserve">4. </w:t>
      </w:r>
      <w:r>
        <w:t>Add a stronger &lt;=40B model and repeat the same holdout suite without changing the answer key or acceptance logic.</w:t>
      </w:r>
    </w:p>
    <w:p>
      <w:pPr>
        <w:ind w:left="259" w:hanging="259"/>
      </w:pPr>
      <w:r>
        <w:rPr>
          <w:b/>
        </w:rPr>
        <w:t xml:space="preserve">5. </w:t>
      </w:r>
      <w:r>
        <w:t>Use a frontier model as a comparison/reference worker, not as unquestioned truth; apply the same evidence and coverage rules.</w:t>
      </w:r>
    </w:p>
    <w:p>
      <w:pPr>
        <w:ind w:left="259" w:hanging="259"/>
      </w:pPr>
      <w:r>
        <w:rPr>
          <w:b/>
        </w:rPr>
        <w:t xml:space="preserve">6. </w:t>
      </w:r>
      <w:r>
        <w:t>Only after repeated runs establish uplift should RLL/P-GLL routing rules become canonical Orion behavior.</w:t>
      </w:r>
    </w:p>
    <w:p>
      <w:pPr>
        <w:pStyle w:val="Heading1"/>
      </w:pPr>
      <w:r>
        <w:t>13. Condensed Starting Key</w:t>
      </w:r>
    </w:p>
    <w:p>
      <w:pPr>
        <w:pStyle w:val="PGLLCode"/>
      </w:pPr>
      <w:r>
        <w:t>FOR_ALL_MODEL_CLASSES:</w:t>
      </w:r>
      <w:r>
        <w:br/>
      </w:r>
      <w:r>
        <w:t xml:space="preserve">  CONTEXT_CAPACITY != CONTEXT_UTILIZATION</w:t>
      </w:r>
      <w:r>
        <w:br/>
      </w:r>
      <w:r>
        <w:t xml:space="preserve">  FLUENCY != COVERAGE</w:t>
      </w:r>
      <w:r>
        <w:br/>
      </w:r>
      <w:r>
        <w:t xml:space="preserve">  PLAUSIBILITY != EVIDENCE</w:t>
      </w:r>
      <w:r>
        <w:br/>
      </w:r>
      <w:r>
        <w:t xml:space="preserve">  SELF_REVIEW != INDEPENDENT_VERIFICATION</w:t>
      </w:r>
      <w:r>
        <w:br/>
      </w:r>
      <w:r>
        <w:t xml:space="preserve">  TOOL_ACCESS != TOOL_RELIABILITY</w:t>
      </w:r>
      <w:r>
        <w:br/>
      </w:r>
      <w:r>
        <w:t xml:space="preserve">  ONE_PASS != SOURCE_ACCOUNTING</w:t>
      </w:r>
      <w:r>
        <w:br/>
      </w:r>
      <w:r/>
      <w:r>
        <w:br/>
      </w:r>
      <w:r>
        <w:t>FOR_SMALLER_MODELS:</w:t>
      </w:r>
      <w:r>
        <w:br/>
      </w:r>
      <w:r>
        <w:t xml:space="preserve">  REMOVE_AMBIGUITY</w:t>
      </w:r>
      <w:r>
        <w:br/>
      </w:r>
      <w:r>
        <w:t xml:space="preserve">  REDUCE_SIMULTANEOUS_OBLIGATIONS</w:t>
      </w:r>
      <w:r>
        <w:br/>
      </w:r>
      <w:r>
        <w:t xml:space="preserve">  EXPAND_ANCHORS</w:t>
      </w:r>
      <w:r>
        <w:br/>
      </w:r>
      <w:r>
        <w:t xml:space="preserve">  CURATE_TOOLS</w:t>
      </w:r>
      <w:r>
        <w:br/>
      </w:r>
      <w:r>
        <w:t xml:space="preserve">  CHUNK_BY_SEMANTIC_REGION</w:t>
      </w:r>
      <w:r>
        <w:br/>
      </w:r>
      <w:r>
        <w:t xml:space="preserve">  VERIFY_WITH_EVIDENCE_IDS</w:t>
      </w:r>
      <w:r>
        <w:br/>
      </w:r>
      <w:r>
        <w:t xml:space="preserve">  LET_HARNESS_OWN_RECURSION</w:t>
      </w:r>
      <w:r>
        <w:br/>
      </w:r>
      <w:r/>
      <w:r>
        <w:br/>
      </w:r>
      <w:r>
        <w:t>FOR_LARGER_LOCAL_MODELS:</w:t>
      </w:r>
      <w:r>
        <w:br/>
      </w:r>
      <w:r>
        <w:t xml:space="preserve">  COMPRESS_MORE</w:t>
      </w:r>
      <w:r>
        <w:br/>
      </w:r>
      <w:r>
        <w:t xml:space="preserve">  GROUP_MORE_REGIONS</w:t>
      </w:r>
      <w:r>
        <w:br/>
      </w:r>
      <w:r>
        <w:t xml:space="preserve">  PRESERVE_COVERAGE_MANIFEST</w:t>
      </w:r>
      <w:r>
        <w:br/>
      </w:r>
      <w:r>
        <w:t xml:space="preserve">  KEEP_EVIDENCE_BOUNDARIES</w:t>
      </w:r>
      <w:r>
        <w:br/>
      </w:r>
      <w:r>
        <w:t xml:space="preserve">  TEST_AGENT_RELIABILITY_REPEATEDLY</w:t>
      </w:r>
      <w:r>
        <w:br/>
      </w:r>
      <w:r/>
      <w:r>
        <w:br/>
      </w:r>
      <w:r>
        <w:t>FOR_FRONTIER_MODELS:</w:t>
      </w:r>
      <w:r>
        <w:br/>
      </w:r>
      <w:r>
        <w:t xml:space="preserve">  USE_FOR_AMBIGUITY_AND_RECONCILIATION</w:t>
      </w:r>
      <w:r>
        <w:br/>
      </w:r>
      <w:r>
        <w:t xml:space="preserve">  DO_NOT_DROP_COVERAGE_OR_EVIDENCE_CONTROLS</w:t>
      </w:r>
      <w:r>
        <w:br/>
      </w:r>
      <w:r>
        <w:t xml:space="preserve">  DO_NOT_TREAT_LONG_CONTEXT_AS_COMPLETE_READING</w:t>
      </w:r>
      <w:r>
        <w:br/>
      </w:r>
      <w:r>
        <w:t xml:space="preserve">  DO_NOT_TREAT_MODEL_JUDGMENT_AS_ACCEPTANCE</w:t>
      </w:r>
      <w:r>
        <w:br/>
      </w:r>
      <w:r/>
      <w:r>
        <w:br/>
      </w:r>
      <w:r>
        <w:t>ORION_TARGET:</w:t>
      </w:r>
      <w:r>
        <w:br/>
      </w:r>
      <w:r>
        <w:t xml:space="preserve">  SMALLEST_VERIFIED_MODEL</w:t>
      </w:r>
      <w:r>
        <w:br/>
      </w:r>
      <w:r>
        <w:t xml:space="preserve">  + MINIMUM_SUFFICIENT_P_GLL_PACKET</w:t>
      </w:r>
      <w:r>
        <w:br/>
      </w:r>
      <w:r>
        <w:t xml:space="preserve">  + HARNESS_COMPENSATION</w:t>
      </w:r>
      <w:r>
        <w:br/>
      </w:r>
      <w:r>
        <w:t xml:space="preserve">  =&gt; RELIABLE_COGNITIVE_SEAT</w:t>
      </w:r>
    </w:p>
    <w:p>
      <w:pPr>
        <w:pStyle w:val="Heading1"/>
      </w:pPr>
      <w:r>
        <w:t>14. Public Research References</w:t>
      </w:r>
    </w:p>
    <w:p>
      <w:pPr>
        <w:spacing w:after="60"/>
      </w:pPr>
      <w:r>
        <w:rPr>
          <w:b/>
        </w:rPr>
        <w:t xml:space="preserve">[1] Liu et al. (2023). Lost in the Middle: How Language Models Use Long Contexts. </w:t>
      </w:r>
      <w:hyperlink r:id="rId9">
        <w:r>
          <w:rPr>
            <w:color w:val="0563C1"/>
            <w:u w:val="single"/>
          </w:rPr>
          <w:t>https://arxiv.org/abs/2307.03172</w:t>
        </w:r>
      </w:hyperlink>
    </w:p>
    <w:p>
      <w:pPr>
        <w:spacing w:after="60"/>
      </w:pPr>
      <w:r>
        <w:rPr>
          <w:b/>
        </w:rPr>
        <w:t xml:space="preserve">[2] Hsieh et al. (2024). RULER: What's the Real Context Size of Your Long-Context Language Models? </w:t>
      </w:r>
      <w:hyperlink r:id="rId10">
        <w:r>
          <w:rPr>
            <w:color w:val="0563C1"/>
            <w:u w:val="single"/>
          </w:rPr>
          <w:t>https://arxiv.org/abs/2404.06654</w:t>
        </w:r>
      </w:hyperlink>
    </w:p>
    <w:p>
      <w:pPr>
        <w:spacing w:after="60"/>
      </w:pPr>
      <w:r>
        <w:rPr>
          <w:b/>
        </w:rPr>
        <w:t xml:space="preserve">[3] Bai et al. (2024). LongBench v2: Towards Deeper Understanding and Reasoning on Realistic Long-context Multitasks. </w:t>
      </w:r>
      <w:hyperlink r:id="rId11">
        <w:r>
          <w:rPr>
            <w:color w:val="0563C1"/>
            <w:u w:val="single"/>
          </w:rPr>
          <w:t>https://arxiv.org/abs/2412.15204</w:t>
        </w:r>
      </w:hyperlink>
    </w:p>
    <w:p>
      <w:pPr>
        <w:spacing w:after="60"/>
      </w:pPr>
      <w:r>
        <w:rPr>
          <w:b/>
        </w:rPr>
        <w:t xml:space="preserve">[4] Ding et al. (2025). LongReasonArena: A Long Reasoning Benchmark for Large Language Models. </w:t>
      </w:r>
      <w:hyperlink r:id="rId12">
        <w:r>
          <w:rPr>
            <w:color w:val="0563C1"/>
            <w:u w:val="single"/>
          </w:rPr>
          <w:t>https://arxiv.org/abs/2508.19363</w:t>
        </w:r>
      </w:hyperlink>
    </w:p>
    <w:p>
      <w:pPr>
        <w:spacing w:after="60"/>
      </w:pPr>
      <w:r>
        <w:rPr>
          <w:b/>
        </w:rPr>
        <w:t xml:space="preserve">[5] Wu et al. (2024). LongGenBench: Benchmarking Long-Form Generation in Long Context LLMs. </w:t>
      </w:r>
      <w:hyperlink r:id="rId13">
        <w:r>
          <w:rPr>
            <w:color w:val="0563C1"/>
            <w:u w:val="single"/>
          </w:rPr>
          <w:t>https://arxiv.org/abs/2409.02076</w:t>
        </w:r>
      </w:hyperlink>
    </w:p>
    <w:p>
      <w:pPr>
        <w:spacing w:after="60"/>
      </w:pPr>
      <w:r>
        <w:rPr>
          <w:b/>
        </w:rPr>
        <w:t xml:space="preserve">[6] Wen et al. (2024). Benchmarking Complex Instruction-Following with Multiple Constraints Composition. </w:t>
      </w:r>
      <w:hyperlink r:id="rId14">
        <w:r>
          <w:rPr>
            <w:color w:val="0563C1"/>
            <w:u w:val="single"/>
          </w:rPr>
          <w:t>https://arxiv.org/abs/2407.03978</w:t>
        </w:r>
      </w:hyperlink>
    </w:p>
    <w:p>
      <w:pPr>
        <w:spacing w:after="60"/>
      </w:pPr>
      <w:r>
        <w:rPr>
          <w:b/>
        </w:rPr>
        <w:t xml:space="preserve">[7] Liu et al. (2023). AgentBench: Evaluating LLMs as Agents. </w:t>
      </w:r>
      <w:hyperlink r:id="rId15">
        <w:r>
          <w:rPr>
            <w:color w:val="0563C1"/>
            <w:u w:val="single"/>
          </w:rPr>
          <w:t>https://arxiv.org/abs/2308.03688</w:t>
        </w:r>
      </w:hyperlink>
    </w:p>
    <w:p>
      <w:pPr>
        <w:spacing w:after="60"/>
      </w:pPr>
      <w:r>
        <w:rPr>
          <w:b/>
        </w:rPr>
        <w:t xml:space="preserve">[8] Yao et al. (2024). tau-bench: A Benchmark for Tool-Agent-User Interaction in Real-World Domains. </w:t>
      </w:r>
      <w:hyperlink r:id="rId16">
        <w:r>
          <w:rPr>
            <w:color w:val="0563C1"/>
            <w:u w:val="single"/>
          </w:rPr>
          <w:t>https://arxiv.org/abs/2406.12045</w:t>
        </w:r>
      </w:hyperlink>
    </w:p>
    <w:p>
      <w:pPr>
        <w:spacing w:after="60"/>
      </w:pPr>
      <w:r>
        <w:rPr>
          <w:b/>
        </w:rPr>
        <w:t xml:space="preserve">[9] Gupta (2026). ReliabilityBench: Evaluating LLM Agent Reliability Under Production-Like Stress Conditions. </w:t>
      </w:r>
      <w:hyperlink r:id="rId17">
        <w:r>
          <w:rPr>
            <w:color w:val="0563C1"/>
            <w:u w:val="single"/>
          </w:rPr>
          <w:t>https://arxiv.org/abs/2601.06112</w:t>
        </w:r>
      </w:hyperlink>
    </w:p>
    <w:p>
      <w:pPr>
        <w:spacing w:after="60"/>
      </w:pPr>
      <w:r>
        <w:rPr>
          <w:b/>
        </w:rPr>
        <w:t xml:space="preserve">[10] Li et al. (2026). Benchmark Test-Time Scaling of General LLM Agents. </w:t>
      </w:r>
      <w:hyperlink r:id="rId18">
        <w:r>
          <w:rPr>
            <w:color w:val="0563C1"/>
            <w:u w:val="single"/>
          </w:rPr>
          <w:t>https://arxiv.org/abs/2602.18998</w:t>
        </w:r>
      </w:hyperlink>
    </w:p>
    <w:p>
      <w:pPr>
        <w:spacing w:after="60"/>
      </w:pPr>
      <w:r>
        <w:rPr>
          <w:b/>
        </w:rPr>
        <w:t xml:space="preserve">[11] Gao et al. (2023). Enabling Large Language Models to Generate Text with Citations (ALCE). </w:t>
      </w:r>
      <w:hyperlink r:id="rId19">
        <w:r>
          <w:rPr>
            <w:color w:val="0563C1"/>
            <w:u w:val="single"/>
          </w:rPr>
          <w:t>https://arxiv.org/abs/2305.14627</w:t>
        </w:r>
      </w:hyperlink>
    </w:p>
    <w:p>
      <w:pPr>
        <w:spacing w:after="60"/>
      </w:pPr>
      <w:r>
        <w:rPr>
          <w:b/>
        </w:rPr>
        <w:t xml:space="preserve">[12] Wei et al. (2024). Long-form factuality in large language models (LongFact / SAFE). </w:t>
      </w:r>
      <w:hyperlink r:id="rId20">
        <w:r>
          <w:rPr>
            <w:color w:val="0563C1"/>
            <w:u w:val="single"/>
          </w:rPr>
          <w:t>https://arxiv.org/abs/2403.18802</w:t>
        </w:r>
      </w:hyperlink>
    </w:p>
    <w:p>
      <w:pPr>
        <w:spacing w:after="60"/>
      </w:pPr>
      <w:r>
        <w:rPr>
          <w:b/>
        </w:rPr>
        <w:t xml:space="preserve">[13] Du et al. (2025). DeepResearch Bench: A Comprehensive Benchmark for Deep Research Agents. </w:t>
      </w:r>
      <w:hyperlink r:id="rId21">
        <w:r>
          <w:rPr>
            <w:color w:val="0563C1"/>
            <w:u w:val="single"/>
          </w:rPr>
          <w:t>https://arxiv.org/abs/2506.11763</w:t>
        </w:r>
      </w:hyperlink>
    </w:p>
    <w:p>
      <w:pPr>
        <w:spacing w:after="60"/>
      </w:pPr>
      <w:r>
        <w:rPr>
          <w:b/>
        </w:rPr>
        <w:t xml:space="preserve">[14] Huang et al. (2023). Large Language Models Cannot Self-Correct Reasoning Yet. </w:t>
      </w:r>
      <w:hyperlink r:id="rId22">
        <w:r>
          <w:rPr>
            <w:color w:val="0563C1"/>
            <w:u w:val="single"/>
          </w:rPr>
          <w:t>https://arxiv.org/abs/2310.01798</w:t>
        </w:r>
      </w:hyperlink>
    </w:p>
    <w:p>
      <w:pPr>
        <w:spacing w:after="60"/>
      </w:pPr>
      <w:r>
        <w:rPr>
          <w:b/>
        </w:rPr>
        <w:t xml:space="preserve">[15] Liu et al. (2024). Large Language Models have Intrinsic Self-Correction Ability. </w:t>
      </w:r>
      <w:hyperlink r:id="rId23">
        <w:r>
          <w:rPr>
            <w:color w:val="0563C1"/>
            <w:u w:val="single"/>
          </w:rPr>
          <w:t>https://arxiv.org/abs/2406.15673</w:t>
        </w:r>
      </w:hyperlink>
    </w:p>
    <w:p>
      <w:pPr>
        <w:spacing w:after="60"/>
      </w:pPr>
      <w:r>
        <w:rPr>
          <w:b/>
        </w:rPr>
        <w:t xml:space="preserve">[16] Xu et al. (2024). Pride and Prejudice: LLM Amplifies Self-Bias in Self-Refinement. </w:t>
      </w:r>
      <w:hyperlink r:id="rId24">
        <w:r>
          <w:rPr>
            <w:color w:val="0563C1"/>
            <w:u w:val="single"/>
          </w:rPr>
          <w:t>https://arxiv.org/abs/2402.11436</w:t>
        </w:r>
      </w:hyperlink>
    </w:p>
    <w:p>
      <w:pPr>
        <w:spacing w:after="60"/>
      </w:pPr>
      <w:r>
        <w:rPr>
          <w:b/>
        </w:rPr>
        <w:t xml:space="preserve">[17] Zheng et al. (2023). Judging LLM-as-a-Judge with MT-Bench and Chatbot Arena. </w:t>
      </w:r>
      <w:hyperlink r:id="rId25">
        <w:r>
          <w:rPr>
            <w:color w:val="0563C1"/>
            <w:u w:val="single"/>
          </w:rPr>
          <w:t>https://arxiv.org/abs/2306.05685</w:t>
        </w:r>
      </w:hyperlink>
    </w:p>
    <w:p>
      <w:pPr>
        <w:spacing w:after="60"/>
      </w:pPr>
      <w:r>
        <w:rPr>
          <w:b/>
        </w:rPr>
        <w:t xml:space="preserve">[18] Ou &amp; Lapata (2025). Context-Aware Hierarchical Merging for Long Document Summarization. </w:t>
      </w:r>
      <w:hyperlink r:id="rId26">
        <w:r>
          <w:rPr>
            <w:color w:val="0563C1"/>
            <w:u w:val="single"/>
          </w:rPr>
          <w:t>https://arxiv.org/abs/2502.00977</w:t>
        </w:r>
      </w:hyperlink>
    </w:p>
    <w:p>
      <w:pPr>
        <w:spacing w:after="60"/>
      </w:pPr>
      <w:r>
        <w:rPr>
          <w:b/>
        </w:rPr>
        <w:t xml:space="preserve">[19] Geng et al. (2025). Generating Structured Outputs from Language Models: Benchmark and Studies. </w:t>
      </w:r>
      <w:hyperlink r:id="rId27">
        <w:r>
          <w:rPr>
            <w:color w:val="0563C1"/>
            <w:u w:val="single"/>
          </w:rPr>
          <w:t>https://arxiv.org/abs/2501.10868</w:t>
        </w:r>
      </w:hyperlink>
    </w:p>
    <w:p>
      <w:pPr>
        <w:spacing w:after="60"/>
      </w:pPr>
      <w:r>
        <w:rPr>
          <w:b/>
        </w:rPr>
        <w:t xml:space="preserve">[20] Zhang, Yuan &amp; Avestimehr (2024). Revisiting OPRO: The Limitations of Small-Scale LLMs as Optimizers. </w:t>
      </w:r>
      <w:hyperlink r:id="rId28">
        <w:r>
          <w:rPr>
            <w:color w:val="0563C1"/>
            <w:u w:val="single"/>
          </w:rPr>
          <w:t>https://arxiv.org/abs/2405.10276</w:t>
        </w:r>
      </w:hyperlink>
    </w:p>
    <w:p>
      <w:pPr>
        <w:spacing w:after="60"/>
      </w:pPr>
      <w:r>
        <w:rPr>
          <w:b/>
        </w:rPr>
        <w:t xml:space="preserve">[21] Huang et al. (2023). MetaTool Benchmark for Large Language Models: Deciding Whether to Use Tools and Which to Use. </w:t>
      </w:r>
      <w:hyperlink r:id="rId29">
        <w:r>
          <w:rPr>
            <w:color w:val="0563C1"/>
            <w:u w:val="single"/>
          </w:rPr>
          <w:t>https://arxiv.org/abs/2310.03128</w:t>
        </w:r>
      </w:hyperlink>
    </w:p>
    <w:p>
      <w:pPr>
        <w:spacing w:after="60"/>
      </w:pPr>
      <w:r>
        <w:rPr>
          <w:b/>
        </w:rPr>
        <w:t xml:space="preserve">[22] Dmonte et al. (2024). Claim Verification in the Age of Large Language Models: A Survey. </w:t>
      </w:r>
      <w:hyperlink r:id="rId30">
        <w:r>
          <w:rPr>
            <w:color w:val="0563C1"/>
            <w:u w:val="single"/>
          </w:rPr>
          <w:t>https://arxiv.org/abs/2408.14317</w:t>
        </w:r>
      </w:hyperlink>
    </w:p>
    <w:p>
      <w:pPr>
        <w:pStyle w:val="Heading1"/>
      </w:pPr>
      <w:r>
        <w:t>15. Internal Orion / P-GLL Sources Used</w:t>
      </w:r>
    </w:p>
    <w:p>
      <w:pPr>
        <w:pStyle w:val="ListBullet"/>
      </w:pPr>
      <w:r>
        <w:t>01_PGLL_CORE_LANGUAGE_STANDARD.md - representation layers L0/L1/L2, semantic equivalence, reference modes, epistemic primitives.</w:t>
      </w:r>
    </w:p>
    <w:p>
      <w:pPr>
        <w:pStyle w:val="ListBullet"/>
      </w:pPr>
      <w:r>
        <w:t>02_PGLL_ANCHOR_AND_REFERENCE_STANDARD.md - semantic addresses, expansion depth, minimum useful expansion, neighborhood context.</w:t>
      </w:r>
    </w:p>
    <w:p>
      <w:pPr>
        <w:pStyle w:val="ListBullet"/>
      </w:pPr>
      <w:r>
        <w:t>06_PGLL_MASK_PARALLELISM_AND_DIFFUSION_STANDARD.md - minimum sufficient context, masks, context packets, negative space, bounded parallelism, rehydration.</w:t>
      </w:r>
    </w:p>
    <w:p>
      <w:pPr>
        <w:pStyle w:val="ListBullet"/>
      </w:pPr>
      <w:r>
        <w:t>Orion_Prompt_Strategy_and_Cognitive_Governance_Architecture(1).docx - prompt routing, deterministic validators, verification receipts, anti-patterns including model confidence/self-scoring as proof.</w:t>
      </w:r>
    </w:p>
    <w:p>
      <w:pPr>
        <w:pStyle w:val="ListBullet"/>
      </w:pPr>
      <w:r>
        <w:t>Human_Agent_Operating_Guide_v3_Audit_Standard.md - minimum benchmark protocol, component-level failure attribution, dual scorecards.</w:t>
      </w:r>
    </w:p>
    <w:p>
      <w:pPr>
        <w:pStyle w:val="Heading1"/>
      </w:pPr>
      <w:r>
        <w:t>16. Research Status / Next Revision Gate</w:t>
      </w:r>
    </w:p>
    <w:p>
      <w:r>
        <w:t>This baseline should be revised after Orion-gz produces enough measured evidence to replace size-band priors with model-specific profiles. The first major revision gate should occur after at least two local model classes and one frontier reference have completed the same holdout RLL/document/QA/agent suite.</w:t>
      </w:r>
    </w:p>
    <w:p>
      <w:pPr>
        <w:pStyle w:val="PGLLCode"/>
      </w:pPr>
      <w:r>
        <w:t>RESEARCH_BASELINE</w:t>
      </w:r>
      <w:r>
        <w:br/>
      </w:r>
      <w:r>
        <w:t>-&gt; ORION_GZ_EMPIRICAL_PROFILES</w:t>
      </w:r>
      <w:r>
        <w:br/>
      </w:r>
      <w:r>
        <w:t>-&gt; CROSS_MODEL_COMPARISON</w:t>
      </w:r>
      <w:r>
        <w:br/>
      </w:r>
      <w:r>
        <w:t>-&gt; P_GLL_COMPENSATION_RULES</w:t>
      </w:r>
      <w:r>
        <w:br/>
      </w:r>
      <w:r>
        <w:t>-&gt; HOLDOUT_VALIDATION</w:t>
      </w:r>
      <w:r>
        <w:br/>
      </w:r>
      <w:r>
        <w:t>-&gt; CANONICAL_ORION_ROUTING_POLICY</w:t>
      </w:r>
    </w:p>
    <w:sectPr w:rsidR="00FC693F" w:rsidRPr="0006063C" w:rsidSect="00034616">
      <w:footerReference w:type="default" r:id="rId31"/>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P-GLL Model Behavior &amp; Harness Compensation Baseline | Orion-Next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GLLCode">
    <w:name w:val="PGLL Code"/>
    <w:pPr>
      <w:spacing w:before="60" w:after="120" w:line="240" w:lineRule="auto"/>
      <w:ind w:left="360" w:right="173"/>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307.03172" TargetMode="External"/><Relationship Id="rId10" Type="http://schemas.openxmlformats.org/officeDocument/2006/relationships/hyperlink" Target="https://arxiv.org/abs/2404.06654" TargetMode="External"/><Relationship Id="rId11" Type="http://schemas.openxmlformats.org/officeDocument/2006/relationships/hyperlink" Target="https://arxiv.org/abs/2412.15204" TargetMode="External"/><Relationship Id="rId12" Type="http://schemas.openxmlformats.org/officeDocument/2006/relationships/hyperlink" Target="https://arxiv.org/abs/2508.19363" TargetMode="External"/><Relationship Id="rId13" Type="http://schemas.openxmlformats.org/officeDocument/2006/relationships/hyperlink" Target="https://arxiv.org/abs/2409.02076" TargetMode="External"/><Relationship Id="rId14" Type="http://schemas.openxmlformats.org/officeDocument/2006/relationships/hyperlink" Target="https://arxiv.org/abs/2407.03978" TargetMode="External"/><Relationship Id="rId15" Type="http://schemas.openxmlformats.org/officeDocument/2006/relationships/hyperlink" Target="https://arxiv.org/abs/2308.03688" TargetMode="External"/><Relationship Id="rId16" Type="http://schemas.openxmlformats.org/officeDocument/2006/relationships/hyperlink" Target="https://arxiv.org/abs/2406.12045" TargetMode="External"/><Relationship Id="rId17" Type="http://schemas.openxmlformats.org/officeDocument/2006/relationships/hyperlink" Target="https://arxiv.org/abs/2601.06112" TargetMode="External"/><Relationship Id="rId18" Type="http://schemas.openxmlformats.org/officeDocument/2006/relationships/hyperlink" Target="https://arxiv.org/abs/2602.18998" TargetMode="External"/><Relationship Id="rId19" Type="http://schemas.openxmlformats.org/officeDocument/2006/relationships/hyperlink" Target="https://arxiv.org/abs/2305.14627" TargetMode="External"/><Relationship Id="rId20" Type="http://schemas.openxmlformats.org/officeDocument/2006/relationships/hyperlink" Target="https://arxiv.org/abs/2403.18802" TargetMode="External"/><Relationship Id="rId21" Type="http://schemas.openxmlformats.org/officeDocument/2006/relationships/hyperlink" Target="https://arxiv.org/abs/2506.11763" TargetMode="External"/><Relationship Id="rId22" Type="http://schemas.openxmlformats.org/officeDocument/2006/relationships/hyperlink" Target="https://arxiv.org/abs/2310.01798" TargetMode="External"/><Relationship Id="rId23" Type="http://schemas.openxmlformats.org/officeDocument/2006/relationships/hyperlink" Target="https://arxiv.org/abs/2406.15673" TargetMode="External"/><Relationship Id="rId24" Type="http://schemas.openxmlformats.org/officeDocument/2006/relationships/hyperlink" Target="https://arxiv.org/abs/2402.11436" TargetMode="External"/><Relationship Id="rId25" Type="http://schemas.openxmlformats.org/officeDocument/2006/relationships/hyperlink" Target="https://arxiv.org/abs/2306.05685" TargetMode="External"/><Relationship Id="rId26" Type="http://schemas.openxmlformats.org/officeDocument/2006/relationships/hyperlink" Target="https://arxiv.org/abs/2502.00977" TargetMode="External"/><Relationship Id="rId27" Type="http://schemas.openxmlformats.org/officeDocument/2006/relationships/hyperlink" Target="https://arxiv.org/abs/2501.10868" TargetMode="External"/><Relationship Id="rId28" Type="http://schemas.openxmlformats.org/officeDocument/2006/relationships/hyperlink" Target="https://arxiv.org/abs/2405.10276" TargetMode="External"/><Relationship Id="rId29" Type="http://schemas.openxmlformats.org/officeDocument/2006/relationships/hyperlink" Target="https://arxiv.org/abs/2310.03128" TargetMode="External"/><Relationship Id="rId30" Type="http://schemas.openxmlformats.org/officeDocument/2006/relationships/hyperlink" Target="https://arxiv.org/abs/2408.14317"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