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Quartalsbericht Größenordnung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Dies ist ein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fetter</w:t>
      </w:r>
      <w:r>
        <w:rPr>
          <w:rFonts w:ascii="Times" w:hAnsi="Times" w:cs="Times"/>
          <w:sz w:val="24"/>
          <w:sz-cs w:val="24"/>
          <w:spacing w:val="0"/>
        </w:rPr>
        <w:t xml:space="preserve"> und ein </w:t>
      </w:r>
      <w:r>
        <w:rPr>
          <w:rFonts w:ascii="Times" w:hAnsi="Times" w:cs="Times"/>
          <w:sz w:val="24"/>
          <w:sz-cs w:val="24"/>
          <w:i/>
          <w:spacing w:val="0"/>
        </w:rPr>
        <w:t xml:space="preserve">kursiver</w:t>
      </w:r>
      <w:r>
        <w:rPr>
          <w:rFonts w:ascii="Times" w:hAnsi="Times" w:cs="Times"/>
          <w:sz w:val="24"/>
          <w:sz-cs w:val="24"/>
          <w:spacing w:val="0"/>
        </w:rPr>
        <w:t xml:space="preserve"> Absatz mit Umlauten: äöüß ÄÖÜ und dem Euro €.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Aufzählung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Erster Punkt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Zweiter Punkt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Eins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Zwei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Drei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Tabelle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Name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Wert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Umsatz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1.234 €</w:t>
      </w:r>
    </w:p>
    <w:p>
      <w:pPr>
        <w:jc w:val="center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Zentrierter Schluss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