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EC26B">
      <w:pPr>
        <w:pStyle w:val="2"/>
        <w:spacing w:before="312" w:after="312"/>
        <w:jc w:val="center"/>
        <w:rPr>
          <w:rFonts w:hint="eastAsia" w:ascii="黑体" w:hAnsi="黑体" w:cs="黑体"/>
        </w:rPr>
      </w:pPr>
      <w:bookmarkStart w:id="0" w:name="_Toc6295"/>
      <w:bookmarkStart w:id="1" w:name="_Toc20775"/>
      <w:bookmarkStart w:id="2" w:name="_Toc30338"/>
      <w:r>
        <w:rPr>
          <w:rFonts w:hint="eastAsia" w:ascii="黑体" w:hAnsi="黑体" w:cs="黑体"/>
          <w:color w:val="000000"/>
        </w:rPr>
        <w:t>激光耦合仿真系统及智能优化平台</w:t>
      </w:r>
      <w:bookmarkEnd w:id="0"/>
      <w:bookmarkEnd w:id="1"/>
      <w:r>
        <w:rPr>
          <w:rFonts w:hint="eastAsia" w:ascii="黑体" w:hAnsi="黑体" w:cs="黑体"/>
          <w:color w:val="000000"/>
        </w:rPr>
        <w:t>研究报告</w:t>
      </w:r>
    </w:p>
    <w:p w14:paraId="24156DB9">
      <w:pPr>
        <w:pStyle w:val="2"/>
        <w:spacing w:before="312" w:after="312"/>
        <w:jc w:val="center"/>
        <w:rPr>
          <w:rFonts w:hint="eastAsia" w:ascii="黑体" w:hAnsi="黑体" w:cs="黑体"/>
          <w:color w:val="000000"/>
        </w:rPr>
      </w:pPr>
    </w:p>
    <w:p w14:paraId="651F066E">
      <w:pPr>
        <w:sectPr>
          <w:pgSz w:w="11906" w:h="16838"/>
          <w:pgMar w:top="1417" w:right="1134" w:bottom="1417" w:left="1417" w:header="851" w:footer="992" w:gutter="0"/>
          <w:pgNumType w:fmt="upperRoman" w:start="1"/>
          <w:cols w:space="425" w:num="1"/>
          <w:docGrid w:type="lines" w:linePitch="312" w:charSpace="0"/>
        </w:sectPr>
      </w:pPr>
    </w:p>
    <w:p w14:paraId="72469AF3">
      <w:pPr>
        <w:pStyle w:val="2"/>
        <w:spacing w:before="312" w:after="312"/>
        <w:jc w:val="center"/>
        <w:rPr>
          <w:rFonts w:hint="eastAsia" w:ascii="黑体" w:hAnsi="黑体" w:cs="黑体"/>
        </w:rPr>
      </w:pPr>
      <w:r>
        <w:rPr>
          <w:rFonts w:hint="eastAsia" w:ascii="黑体" w:hAnsi="黑体" w:cs="黑体"/>
          <w:color w:val="000000"/>
        </w:rPr>
        <w:t>摘要</w:t>
      </w:r>
      <w:bookmarkEnd w:id="2"/>
    </w:p>
    <w:p w14:paraId="19B3592F">
      <w:pPr>
        <w:ind w:firstLine="480" w:firstLineChars="200"/>
      </w:pPr>
      <w:r>
        <w:rPr>
          <w:rFonts w:ascii="宋体" w:hAnsi="宋体"/>
          <w:color w:val="000000"/>
        </w:rPr>
        <w:t>光纤耦合效率不仅取决于光束是否到达光纤端面，还取决于入射复光场与光纤目标模式在尺寸、位置、传播角度、波前曲率和相位分布等方面的匹配程度。针对复杂光学实验装调过程难开展、参数探索效率低、传统专业软件学习门槛高以及优化结果缺乏物理解释等问题，本研究设计并实现了激光耦合仿真系统及智能优化平台。</w:t>
      </w:r>
    </w:p>
    <w:p w14:paraId="10713220">
      <w:pPr>
        <w:ind w:firstLine="480" w:firstLineChars="200"/>
      </w:pPr>
      <w:r>
        <w:rPr>
          <w:rFonts w:ascii="宋体" w:hAnsi="宋体"/>
          <w:color w:val="000000"/>
        </w:rPr>
        <w:t xml:space="preserve">平台以 </w:t>
      </w:r>
      <w:r>
        <w:rPr>
          <w:rFonts w:cs="Times New Roman"/>
          <w:color w:val="000000"/>
        </w:rPr>
        <w:t xml:space="preserve">Gaussian </w:t>
      </w:r>
      <w:r>
        <w:rPr>
          <w:rFonts w:ascii="宋体" w:hAnsi="宋体"/>
          <w:color w:val="000000"/>
        </w:rPr>
        <w:t xml:space="preserve">光束和 </w:t>
      </w:r>
      <w:r>
        <w:rPr>
          <w:rFonts w:cs="Times New Roman"/>
          <w:i/>
          <w:iCs/>
          <w:color w:val="000000"/>
        </w:rPr>
        <w:t xml:space="preserve">ABCD </w:t>
      </w:r>
      <w:r>
        <w:rPr>
          <w:rFonts w:ascii="宋体" w:hAnsi="宋体"/>
          <w:color w:val="000000"/>
        </w:rPr>
        <w:t xml:space="preserve">矩阵为解析基础，结合顺序几何光线追迹、公共出瞳面复场重建和角谱/Fresnel 数值传播，获得光纤端面的入射复场；同时构造 </w:t>
      </w:r>
      <w:r>
        <w:rPr>
          <w:rFonts w:cs="Times New Roman"/>
          <w:color w:val="000000"/>
        </w:rPr>
        <w:t>Gaussian、LP01、HE11</w:t>
      </w:r>
      <w:r>
        <w:rPr>
          <w:rFonts w:ascii="宋体" w:hAnsi="宋体"/>
          <w:color w:val="000000"/>
        </w:rPr>
        <w:t xml:space="preserve"> 等目标模场，通过归一化复场重叠积分计算模式耦合效率，并将模式耦合效率与系统总效率分开表征。在此基础上，针对固定镜组结构和可变镜组结构分别采用随机森林/</w:t>
      </w:r>
      <w:r>
        <w:rPr>
          <w:rFonts w:cs="Times New Roman"/>
          <w:color w:val="000000"/>
        </w:rPr>
        <w:t xml:space="preserve">XGBoost </w:t>
      </w:r>
      <w:r>
        <w:rPr>
          <w:rFonts w:ascii="宋体" w:hAnsi="宋体"/>
          <w:color w:val="000000"/>
        </w:rPr>
        <w:t xml:space="preserve">与 </w:t>
      </w:r>
      <w:r>
        <w:rPr>
          <w:rFonts w:cs="Times New Roman"/>
          <w:color w:val="000000"/>
        </w:rPr>
        <w:t xml:space="preserve">BiLSTM </w:t>
      </w:r>
      <w:r>
        <w:rPr>
          <w:rFonts w:ascii="宋体" w:hAnsi="宋体"/>
          <w:color w:val="000000"/>
        </w:rPr>
        <w:t>建立代理模型，结合贝叶斯优化、差分进化、</w:t>
      </w:r>
      <w:r>
        <w:rPr>
          <w:rFonts w:cs="Times New Roman"/>
          <w:color w:val="000000"/>
        </w:rPr>
        <w:t>Powell</w:t>
      </w:r>
      <w:r>
        <w:rPr>
          <w:rFonts w:ascii="宋体" w:hAnsi="宋体"/>
          <w:color w:val="000000"/>
        </w:rPr>
        <w:t xml:space="preserve"> 局部精调、硬约束筛选和正式物理仿真复核，形成从候选筛选到结果裁决的研究链路。进一步利用 SHAP 将参数贡献映射到尺寸失配、横向偏移、轴向离焦、角度倾斜和曲率失配等物理因素，使智能分析结果能够回到可解释的光学机理。</w:t>
      </w:r>
    </w:p>
    <w:p w14:paraId="619CA521">
      <w:pPr>
        <w:ind w:firstLine="480" w:firstLineChars="200"/>
      </w:pPr>
      <w:r>
        <w:rPr>
          <w:rFonts w:ascii="宋体" w:hAnsi="宋体"/>
          <w:color w:val="000000"/>
        </w:rPr>
        <w:t>本研究形成了从可视化建模、正式仿真、参数研究、智能优化到结果解释和任务追溯的统一平台框架，可为多透镜—单模光纤耦合系统的方案设计、参数分析和实验前虚拟装调提供辅助。</w:t>
      </w:r>
    </w:p>
    <w:p w14:paraId="5177C2F8">
      <w:r>
        <w:rPr>
          <w:rFonts w:ascii="宋体" w:hAnsi="宋体"/>
          <w:b/>
          <w:bCs/>
          <w:color w:val="000000"/>
        </w:rPr>
        <w:t>关键词</w:t>
      </w:r>
      <w:r>
        <w:rPr>
          <w:rFonts w:ascii="宋体" w:hAnsi="宋体"/>
          <w:color w:val="000000"/>
        </w:rPr>
        <w:t>：激光耦合；复光场；模式重叠；</w:t>
      </w:r>
      <w:r>
        <w:rPr>
          <w:rFonts w:cs="Times New Roman"/>
          <w:i/>
          <w:iCs/>
          <w:color w:val="000000"/>
        </w:rPr>
        <w:t xml:space="preserve">ABCD </w:t>
      </w:r>
      <w:r>
        <w:rPr>
          <w:rFonts w:ascii="宋体" w:hAnsi="宋体"/>
          <w:color w:val="000000"/>
        </w:rPr>
        <w:t>矩阵；机器学习；</w:t>
      </w:r>
      <w:r>
        <w:rPr>
          <w:rFonts w:cs="Times New Roman"/>
          <w:color w:val="000000"/>
        </w:rPr>
        <w:t>SHAP</w:t>
      </w:r>
      <w:r>
        <w:rPr>
          <w:rFonts w:ascii="宋体" w:hAnsi="宋体"/>
          <w:color w:val="000000"/>
        </w:rPr>
        <w:t>；智能优化</w:t>
      </w:r>
    </w:p>
    <w:p w14:paraId="7A7F9814">
      <w:pPr>
        <w:pStyle w:val="2"/>
        <w:spacing w:before="312" w:after="312"/>
        <w:jc w:val="center"/>
        <w:rPr>
          <w:rFonts w:cs="Times New Roman"/>
        </w:rPr>
      </w:pPr>
      <w:r>
        <w:rPr>
          <w:rFonts w:hint="eastAsia"/>
        </w:rPr>
        <w:br w:type="page"/>
      </w:r>
      <w:bookmarkStart w:id="3" w:name="_Toc8005"/>
      <w:bookmarkStart w:id="4" w:name="_Toc13422"/>
      <w:bookmarkStart w:id="5" w:name="_Toc31532"/>
      <w:r>
        <w:rPr>
          <w:rFonts w:eastAsia="宋体" w:cs="Times New Roman"/>
          <w:color w:val="000000"/>
        </w:rPr>
        <w:t>Abstract</w:t>
      </w:r>
      <w:bookmarkEnd w:id="3"/>
      <w:bookmarkEnd w:id="4"/>
      <w:bookmarkEnd w:id="5"/>
    </w:p>
    <w:p w14:paraId="0BFA3E5D">
      <w:pPr>
        <w:rPr>
          <w:rFonts w:cs="Times New Roman"/>
        </w:rPr>
      </w:pPr>
      <w:r>
        <w:rPr>
          <w:rFonts w:cs="Times New Roman"/>
          <w:color w:val="000000"/>
        </w:rPr>
        <w:t>Fiber-coupling efficiency depends on the matching between the incident complex field and the target fiber mode in size, position, propagation angle, wavefront curvature, and phase. To address the high cost of parameter exploration, the learning threshold of conventional optical software, and the limited interpretability of optimization results, this work develops a laser-coupling simulation system and intelligent optimization platform.</w:t>
      </w:r>
    </w:p>
    <w:p w14:paraId="1A373C72">
      <w:pPr>
        <w:rPr>
          <w:rFonts w:cs="Times New Roman"/>
        </w:rPr>
      </w:pPr>
      <w:r>
        <w:rPr>
          <w:rFonts w:cs="Times New Roman"/>
          <w:color w:val="000000"/>
        </w:rPr>
        <w:t>The platform combines Gaussian-beam theory and ABCD matrices with sequential ray tracing, common-exit-plane complex-field reconstruction, and angular-spectrum or Fresnel propagation. Gaussian, LP01, and HE11 target modes are supported, and coupling efficiency is evaluated using normalized complex-field overlap. Random Forest/XGBoost models handle fixed optical structures, while BiLSTM represents variable optical-element sequences. Bayesian optimization, differential evolution, Powell refinement, hard constraints, formal resimulation, and SHAP-based physical diagnosis form a traceable workflow for candidate screening and parameter interpretation.</w:t>
      </w:r>
    </w:p>
    <w:p w14:paraId="54169FE7">
      <w:pPr>
        <w:rPr>
          <w:rFonts w:cs="Times New Roman"/>
        </w:rPr>
      </w:pPr>
      <w:r>
        <w:rPr>
          <w:rFonts w:cs="Times New Roman"/>
          <w:color w:val="000000"/>
        </w:rPr>
        <w:t>The platform connects visual modeling, formal simulation, parameter studies, intelligent optimization, physical diagnosis, and task traceability. It supports the design and analysis of multi-lens single-mode-fiber coupling systems and pre-experimental virtual alignment.</w:t>
      </w:r>
    </w:p>
    <w:p w14:paraId="03014D7E">
      <w:pPr>
        <w:rPr>
          <w:rFonts w:cs="Times New Roman"/>
        </w:rPr>
      </w:pPr>
      <w:r>
        <w:rPr>
          <w:rFonts w:cs="Times New Roman"/>
          <w:b/>
          <w:bCs/>
          <w:color w:val="000000"/>
        </w:rPr>
        <w:t>Keywords</w:t>
      </w:r>
      <w:r>
        <w:rPr>
          <w:rFonts w:cs="Times New Roman"/>
          <w:color w:val="000000"/>
        </w:rPr>
        <w:t>: laser coupling; complex field; mode overlap; ABCD matrix; machine learning; SHAP; intelligent optimization</w:t>
      </w:r>
    </w:p>
    <w:p w14:paraId="640695D1">
      <w:pPr>
        <w:pStyle w:val="12"/>
        <w:tabs>
          <w:tab w:val="right" w:leader="dot" w:pos="9355"/>
        </w:tabs>
        <w:rPr>
          <w:rFonts w:cs="Times New Roman"/>
        </w:rPr>
        <w:sectPr>
          <w:footerReference r:id="rId5" w:type="default"/>
          <w:pgSz w:w="11906" w:h="16838"/>
          <w:pgMar w:top="1417" w:right="1134" w:bottom="1417" w:left="1417" w:header="851" w:footer="992" w:gutter="0"/>
          <w:pgNumType w:fmt="upperRoman" w:start="1"/>
          <w:cols w:space="425" w:num="1"/>
          <w:docGrid w:type="lines" w:linePitch="312" w:charSpace="0"/>
        </w:sectPr>
      </w:pPr>
    </w:p>
    <w:sdt>
      <w:sdtPr>
        <w:rPr>
          <w:rFonts w:eastAsia="宋体"/>
          <w:b w:val="0"/>
          <w:kern w:val="2"/>
          <w:sz w:val="24"/>
        </w:rPr>
        <w:id w:val="147458934"/>
        <w15:color w:val="DBDBDB"/>
        <w:docPartObj>
          <w:docPartGallery w:val="Table of Contents"/>
          <w:docPartUnique/>
        </w:docPartObj>
      </w:sdtPr>
      <w:sdtEndPr>
        <w:rPr>
          <w:rFonts w:eastAsia="宋体"/>
          <w:b w:val="0"/>
          <w:kern w:val="2"/>
          <w:sz w:val="24"/>
        </w:rPr>
      </w:sdtEndPr>
      <w:sdtContent>
        <w:p w14:paraId="6BAE51DC">
          <w:pPr>
            <w:pStyle w:val="2"/>
            <w:spacing w:before="312" w:after="312"/>
            <w:jc w:val="center"/>
          </w:pPr>
          <w:r>
            <w:t>目录</w:t>
          </w:r>
        </w:p>
        <w:p w14:paraId="19875B16">
          <w:pPr>
            <w:pStyle w:val="12"/>
            <w:tabs>
              <w:tab w:val="right" w:leader="dot" w:pos="9355"/>
            </w:tabs>
            <w:rPr>
              <w:rFonts w:eastAsia="宋体"/>
              <w:sz w:val="24"/>
            </w:rPr>
          </w:pPr>
          <w:r>
            <w:rPr>
              <w:rFonts w:eastAsia="宋体"/>
              <w:sz w:val="24"/>
            </w:rPr>
            <w:fldChar w:fldCharType="begin"/>
          </w:r>
          <w:r>
            <w:rPr>
              <w:rFonts w:eastAsia="宋体"/>
              <w:sz w:val="24"/>
            </w:rPr>
            <w:instrText xml:space="preserve">TOC \o "1-3" \h \u </w:instrText>
          </w:r>
          <w:r>
            <w:rPr>
              <w:rFonts w:eastAsia="宋体"/>
              <w:sz w:val="24"/>
            </w:rPr>
            <w:fldChar w:fldCharType="separate"/>
          </w:r>
          <w:r>
            <w:fldChar w:fldCharType="begin"/>
          </w:r>
          <w:r>
            <w:instrText xml:space="preserve"> HYPERLINK \l "_Toc30338" </w:instrText>
          </w:r>
          <w:r>
            <w:fldChar w:fldCharType="separate"/>
          </w:r>
          <w:r>
            <w:rPr>
              <w:rFonts w:hint="eastAsia" w:eastAsia="宋体" w:cs="黑体"/>
              <w:sz w:val="24"/>
            </w:rPr>
            <w:t>摘要</w:t>
          </w:r>
          <w:r>
            <w:rPr>
              <w:rFonts w:eastAsia="宋体"/>
              <w:sz w:val="24"/>
            </w:rPr>
            <w:tab/>
          </w:r>
          <w:r>
            <w:rPr>
              <w:rFonts w:eastAsia="宋体"/>
              <w:sz w:val="24"/>
            </w:rPr>
            <w:fldChar w:fldCharType="begin"/>
          </w:r>
          <w:r>
            <w:rPr>
              <w:rFonts w:eastAsia="宋体"/>
              <w:sz w:val="24"/>
            </w:rPr>
            <w:instrText xml:space="preserve"> PAGEREF _Toc30338 \h </w:instrText>
          </w:r>
          <w:r>
            <w:rPr>
              <w:rFonts w:eastAsia="宋体"/>
              <w:sz w:val="24"/>
            </w:rPr>
            <w:fldChar w:fldCharType="separate"/>
          </w:r>
          <w:r>
            <w:rPr>
              <w:rFonts w:eastAsia="宋体"/>
              <w:sz w:val="24"/>
            </w:rPr>
            <w:t>I</w:t>
          </w:r>
          <w:r>
            <w:rPr>
              <w:rFonts w:eastAsia="宋体"/>
              <w:sz w:val="24"/>
            </w:rPr>
            <w:fldChar w:fldCharType="end"/>
          </w:r>
          <w:r>
            <w:rPr>
              <w:rFonts w:eastAsia="宋体"/>
              <w:sz w:val="24"/>
            </w:rPr>
            <w:fldChar w:fldCharType="end"/>
          </w:r>
        </w:p>
        <w:p w14:paraId="78BE1FB3">
          <w:pPr>
            <w:pStyle w:val="12"/>
            <w:tabs>
              <w:tab w:val="right" w:leader="dot" w:pos="9355"/>
            </w:tabs>
            <w:rPr>
              <w:rFonts w:eastAsia="宋体"/>
              <w:sz w:val="24"/>
            </w:rPr>
          </w:pPr>
          <w:r>
            <w:fldChar w:fldCharType="begin"/>
          </w:r>
          <w:r>
            <w:instrText xml:space="preserve"> HYPERLINK \l "_Toc31532" </w:instrText>
          </w:r>
          <w:r>
            <w:fldChar w:fldCharType="separate"/>
          </w:r>
          <w:r>
            <w:rPr>
              <w:rFonts w:eastAsia="宋体" w:cs="Times New Roman"/>
              <w:sz w:val="24"/>
            </w:rPr>
            <w:t>Abstract</w:t>
          </w:r>
          <w:r>
            <w:rPr>
              <w:rFonts w:eastAsia="宋体"/>
              <w:sz w:val="24"/>
            </w:rPr>
            <w:tab/>
          </w:r>
          <w:r>
            <w:rPr>
              <w:rFonts w:eastAsia="宋体"/>
              <w:sz w:val="24"/>
            </w:rPr>
            <w:fldChar w:fldCharType="begin"/>
          </w:r>
          <w:r>
            <w:rPr>
              <w:rFonts w:eastAsia="宋体"/>
              <w:sz w:val="24"/>
            </w:rPr>
            <w:instrText xml:space="preserve"> PAGEREF _Toc31532 \h </w:instrText>
          </w:r>
          <w:r>
            <w:rPr>
              <w:rFonts w:eastAsia="宋体"/>
              <w:sz w:val="24"/>
            </w:rPr>
            <w:fldChar w:fldCharType="separate"/>
          </w:r>
          <w:r>
            <w:rPr>
              <w:rFonts w:eastAsia="宋体"/>
              <w:sz w:val="24"/>
            </w:rPr>
            <w:t>II</w:t>
          </w:r>
          <w:r>
            <w:rPr>
              <w:rFonts w:eastAsia="宋体"/>
              <w:sz w:val="24"/>
            </w:rPr>
            <w:fldChar w:fldCharType="end"/>
          </w:r>
          <w:r>
            <w:rPr>
              <w:rFonts w:eastAsia="宋体"/>
              <w:sz w:val="24"/>
            </w:rPr>
            <w:fldChar w:fldCharType="end"/>
          </w:r>
        </w:p>
        <w:p w14:paraId="30D30586">
          <w:pPr>
            <w:pStyle w:val="12"/>
            <w:tabs>
              <w:tab w:val="right" w:leader="dot" w:pos="9355"/>
            </w:tabs>
            <w:rPr>
              <w:rFonts w:eastAsia="宋体"/>
              <w:sz w:val="24"/>
            </w:rPr>
          </w:pPr>
          <w:r>
            <w:fldChar w:fldCharType="begin"/>
          </w:r>
          <w:r>
            <w:instrText xml:space="preserve"> HYPERLINK \l "_Toc18780" </w:instrText>
          </w:r>
          <w:r>
            <w:fldChar w:fldCharType="separate"/>
          </w:r>
          <w:r>
            <w:rPr>
              <w:rFonts w:hint="eastAsia" w:eastAsia="宋体" w:cs="黑体"/>
              <w:sz w:val="24"/>
            </w:rPr>
            <w:t>1引言</w:t>
          </w:r>
          <w:r>
            <w:rPr>
              <w:rFonts w:eastAsia="宋体"/>
              <w:sz w:val="24"/>
            </w:rPr>
            <w:tab/>
          </w:r>
          <w:r>
            <w:rPr>
              <w:rFonts w:eastAsia="宋体"/>
              <w:sz w:val="24"/>
            </w:rPr>
            <w:fldChar w:fldCharType="begin"/>
          </w:r>
          <w:r>
            <w:rPr>
              <w:rFonts w:eastAsia="宋体"/>
              <w:sz w:val="24"/>
            </w:rPr>
            <w:instrText xml:space="preserve"> PAGEREF _Toc18780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2A87A3F2">
          <w:pPr>
            <w:pStyle w:val="13"/>
            <w:tabs>
              <w:tab w:val="right" w:leader="dot" w:pos="9355"/>
            </w:tabs>
            <w:ind w:left="480"/>
          </w:pPr>
          <w:r>
            <w:fldChar w:fldCharType="begin"/>
          </w:r>
          <w:r>
            <w:instrText xml:space="preserve"> HYPERLINK \l "_Toc13712" </w:instrText>
          </w:r>
          <w:r>
            <w:fldChar w:fldCharType="separate"/>
          </w:r>
          <w:r>
            <w:rPr>
              <w:rFonts w:hint="eastAsia"/>
            </w:rPr>
            <w:t>1.1选题意义</w:t>
          </w:r>
          <w:r>
            <w:tab/>
          </w:r>
          <w:r>
            <w:fldChar w:fldCharType="begin"/>
          </w:r>
          <w:r>
            <w:instrText xml:space="preserve"> PAGEREF _Toc13712 \h </w:instrText>
          </w:r>
          <w:r>
            <w:fldChar w:fldCharType="separate"/>
          </w:r>
          <w:r>
            <w:t>1</w:t>
          </w:r>
          <w:r>
            <w:fldChar w:fldCharType="end"/>
          </w:r>
          <w:r>
            <w:fldChar w:fldCharType="end"/>
          </w:r>
        </w:p>
        <w:p w14:paraId="30A95295">
          <w:pPr>
            <w:pStyle w:val="13"/>
            <w:tabs>
              <w:tab w:val="right" w:leader="dot" w:pos="9355"/>
            </w:tabs>
            <w:ind w:left="480"/>
          </w:pPr>
          <w:r>
            <w:fldChar w:fldCharType="begin"/>
          </w:r>
          <w:r>
            <w:instrText xml:space="preserve"> HYPERLINK \l "_Toc26796" </w:instrText>
          </w:r>
          <w:r>
            <w:fldChar w:fldCharType="separate"/>
          </w:r>
          <w:r>
            <w:rPr>
              <w:rFonts w:hint="eastAsia"/>
            </w:rPr>
            <w:t>1.2目标定位</w:t>
          </w:r>
          <w:r>
            <w:tab/>
          </w:r>
          <w:r>
            <w:fldChar w:fldCharType="begin"/>
          </w:r>
          <w:r>
            <w:instrText xml:space="preserve"> PAGEREF _Toc26796 \h </w:instrText>
          </w:r>
          <w:r>
            <w:fldChar w:fldCharType="separate"/>
          </w:r>
          <w:r>
            <w:t>1</w:t>
          </w:r>
          <w:r>
            <w:fldChar w:fldCharType="end"/>
          </w:r>
          <w:r>
            <w:fldChar w:fldCharType="end"/>
          </w:r>
        </w:p>
        <w:p w14:paraId="6AD1E589">
          <w:pPr>
            <w:pStyle w:val="12"/>
            <w:tabs>
              <w:tab w:val="right" w:leader="dot" w:pos="9355"/>
            </w:tabs>
            <w:rPr>
              <w:rFonts w:eastAsia="宋体"/>
              <w:sz w:val="24"/>
            </w:rPr>
          </w:pPr>
          <w:r>
            <w:fldChar w:fldCharType="begin"/>
          </w:r>
          <w:r>
            <w:instrText xml:space="preserve"> HYPERLINK \l "_Toc21853" </w:instrText>
          </w:r>
          <w:r>
            <w:fldChar w:fldCharType="separate"/>
          </w:r>
          <w:r>
            <w:rPr>
              <w:rFonts w:hint="eastAsia" w:eastAsia="宋体"/>
              <w:sz w:val="24"/>
            </w:rPr>
            <w:t>2物理模型与理论研究</w:t>
          </w:r>
          <w:r>
            <w:rPr>
              <w:rFonts w:eastAsia="宋体"/>
              <w:sz w:val="24"/>
            </w:rPr>
            <w:tab/>
          </w:r>
          <w:r>
            <w:rPr>
              <w:rFonts w:eastAsia="宋体"/>
              <w:sz w:val="24"/>
            </w:rPr>
            <w:fldChar w:fldCharType="begin"/>
          </w:r>
          <w:r>
            <w:rPr>
              <w:rFonts w:eastAsia="宋体"/>
              <w:sz w:val="24"/>
            </w:rPr>
            <w:instrText xml:space="preserve"> PAGEREF _Toc21853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115F9695">
          <w:pPr>
            <w:pStyle w:val="13"/>
            <w:tabs>
              <w:tab w:val="right" w:leader="dot" w:pos="9355"/>
            </w:tabs>
            <w:ind w:left="480"/>
          </w:pPr>
          <w:r>
            <w:fldChar w:fldCharType="begin"/>
          </w:r>
          <w:r>
            <w:instrText xml:space="preserve"> HYPERLINK \l "_Toc30129" </w:instrText>
          </w:r>
          <w:r>
            <w:fldChar w:fldCharType="separate"/>
          </w:r>
          <w:r>
            <w:rPr>
              <w:rFonts w:hint="eastAsia"/>
            </w:rPr>
            <w:t>2.1激光耦合光路研究</w:t>
          </w:r>
          <w:r>
            <w:tab/>
          </w:r>
          <w:r>
            <w:fldChar w:fldCharType="begin"/>
          </w:r>
          <w:r>
            <w:instrText xml:space="preserve"> PAGEREF _Toc30129 \h </w:instrText>
          </w:r>
          <w:r>
            <w:fldChar w:fldCharType="separate"/>
          </w:r>
          <w:r>
            <w:t>4</w:t>
          </w:r>
          <w:r>
            <w:fldChar w:fldCharType="end"/>
          </w:r>
          <w:r>
            <w:fldChar w:fldCharType="end"/>
          </w:r>
        </w:p>
        <w:p w14:paraId="1B20957E">
          <w:pPr>
            <w:pStyle w:val="13"/>
            <w:tabs>
              <w:tab w:val="right" w:leader="dot" w:pos="9355"/>
            </w:tabs>
            <w:ind w:left="480"/>
          </w:pPr>
          <w:r>
            <w:fldChar w:fldCharType="begin"/>
          </w:r>
          <w:r>
            <w:instrText xml:space="preserve"> HYPERLINK \l "_Toc14387" </w:instrText>
          </w:r>
          <w:r>
            <w:fldChar w:fldCharType="separate"/>
          </w:r>
          <w:r>
            <w:rPr>
              <w:rFonts w:hint="eastAsia"/>
            </w:rPr>
            <w:t>2.2 Gaussian光源</w:t>
          </w:r>
          <w:r>
            <w:tab/>
          </w:r>
          <w:r>
            <w:fldChar w:fldCharType="begin"/>
          </w:r>
          <w:r>
            <w:instrText xml:space="preserve"> PAGEREF _Toc14387 \h </w:instrText>
          </w:r>
          <w:r>
            <w:fldChar w:fldCharType="separate"/>
          </w:r>
          <w:r>
            <w:t>4</w:t>
          </w:r>
          <w:r>
            <w:fldChar w:fldCharType="end"/>
          </w:r>
          <w:r>
            <w:fldChar w:fldCharType="end"/>
          </w:r>
        </w:p>
        <w:p w14:paraId="4C13C190">
          <w:pPr>
            <w:pStyle w:val="13"/>
            <w:tabs>
              <w:tab w:val="right" w:leader="dot" w:pos="9355"/>
            </w:tabs>
            <w:ind w:left="480"/>
          </w:pPr>
          <w:r>
            <w:fldChar w:fldCharType="begin"/>
          </w:r>
          <w:r>
            <w:instrText xml:space="preserve"> HYPERLINK \l "_Toc16929" </w:instrText>
          </w:r>
          <w:r>
            <w:fldChar w:fldCharType="separate"/>
          </w:r>
          <w:r>
            <w:rPr>
              <w:rFonts w:hint="eastAsia"/>
            </w:rPr>
            <w:t>2.3近轴光束理论</w:t>
          </w:r>
          <w:r>
            <w:tab/>
          </w:r>
          <w:r>
            <w:fldChar w:fldCharType="begin"/>
          </w:r>
          <w:r>
            <w:instrText xml:space="preserve"> PAGEREF _Toc16929 \h </w:instrText>
          </w:r>
          <w:r>
            <w:fldChar w:fldCharType="separate"/>
          </w:r>
          <w:r>
            <w:t>5</w:t>
          </w:r>
          <w:r>
            <w:fldChar w:fldCharType="end"/>
          </w:r>
          <w:r>
            <w:fldChar w:fldCharType="end"/>
          </w:r>
        </w:p>
        <w:p w14:paraId="2CF59365">
          <w:pPr>
            <w:pStyle w:val="13"/>
            <w:tabs>
              <w:tab w:val="right" w:leader="dot" w:pos="9355"/>
            </w:tabs>
            <w:ind w:left="480"/>
          </w:pPr>
          <w:r>
            <w:fldChar w:fldCharType="begin"/>
          </w:r>
          <w:r>
            <w:instrText xml:space="preserve"> HYPERLINK \l "_Toc15399" </w:instrText>
          </w:r>
          <w:r>
            <w:fldChar w:fldCharType="separate"/>
          </w:r>
          <w:r>
            <w:rPr>
              <w:rFonts w:hint="eastAsia"/>
            </w:rPr>
            <w:t>2.4 ABCD矩阵与近轴光束传输</w:t>
          </w:r>
          <w:r>
            <w:tab/>
          </w:r>
          <w:r>
            <w:fldChar w:fldCharType="begin"/>
          </w:r>
          <w:r>
            <w:instrText xml:space="preserve"> PAGEREF _Toc15399 \h </w:instrText>
          </w:r>
          <w:r>
            <w:fldChar w:fldCharType="separate"/>
          </w:r>
          <w:r>
            <w:t>6</w:t>
          </w:r>
          <w:r>
            <w:fldChar w:fldCharType="end"/>
          </w:r>
          <w:r>
            <w:fldChar w:fldCharType="end"/>
          </w:r>
        </w:p>
        <w:p w14:paraId="64245A9D">
          <w:pPr>
            <w:pStyle w:val="13"/>
            <w:tabs>
              <w:tab w:val="right" w:leader="dot" w:pos="9355"/>
            </w:tabs>
            <w:ind w:left="480"/>
          </w:pPr>
          <w:r>
            <w:fldChar w:fldCharType="begin"/>
          </w:r>
          <w:r>
            <w:instrText xml:space="preserve"> HYPERLINK \l "_Toc8725" </w:instrText>
          </w:r>
          <w:r>
            <w:fldChar w:fldCharType="separate"/>
          </w:r>
          <w:r>
            <w:rPr>
              <w:rFonts w:hint="eastAsia"/>
            </w:rPr>
            <w:t>2.5出瞳面复场重建</w:t>
          </w:r>
          <w:r>
            <w:tab/>
          </w:r>
          <w:r>
            <w:fldChar w:fldCharType="begin"/>
          </w:r>
          <w:r>
            <w:instrText xml:space="preserve"> PAGEREF _Toc8725 \h </w:instrText>
          </w:r>
          <w:r>
            <w:fldChar w:fldCharType="separate"/>
          </w:r>
          <w:r>
            <w:t>6</w:t>
          </w:r>
          <w:r>
            <w:fldChar w:fldCharType="end"/>
          </w:r>
          <w:r>
            <w:fldChar w:fldCharType="end"/>
          </w:r>
        </w:p>
        <w:p w14:paraId="61B51977">
          <w:pPr>
            <w:pStyle w:val="13"/>
            <w:tabs>
              <w:tab w:val="right" w:leader="dot" w:pos="9355"/>
            </w:tabs>
            <w:ind w:left="480"/>
          </w:pPr>
          <w:r>
            <w:fldChar w:fldCharType="begin"/>
          </w:r>
          <w:r>
            <w:instrText xml:space="preserve"> HYPERLINK \l "_Toc25083" </w:instrText>
          </w:r>
          <w:r>
            <w:fldChar w:fldCharType="separate"/>
          </w:r>
          <w:r>
            <w:rPr>
              <w:rFonts w:hint="eastAsia"/>
            </w:rPr>
            <w:t>2.6耦合效率计算</w:t>
          </w:r>
          <w:r>
            <w:tab/>
          </w:r>
          <w:r>
            <w:fldChar w:fldCharType="begin"/>
          </w:r>
          <w:r>
            <w:instrText xml:space="preserve"> PAGEREF _Toc25083 \h </w:instrText>
          </w:r>
          <w:r>
            <w:fldChar w:fldCharType="separate"/>
          </w:r>
          <w:r>
            <w:t>7</w:t>
          </w:r>
          <w:r>
            <w:fldChar w:fldCharType="end"/>
          </w:r>
          <w:r>
            <w:fldChar w:fldCharType="end"/>
          </w:r>
        </w:p>
        <w:p w14:paraId="7B9EE1AA">
          <w:pPr>
            <w:pStyle w:val="13"/>
            <w:tabs>
              <w:tab w:val="right" w:leader="dot" w:pos="9355"/>
            </w:tabs>
            <w:ind w:left="480"/>
          </w:pPr>
          <w:r>
            <w:fldChar w:fldCharType="begin"/>
          </w:r>
          <w:r>
            <w:instrText xml:space="preserve"> HYPERLINK \l "_Toc17447" </w:instrText>
          </w:r>
          <w:r>
            <w:fldChar w:fldCharType="separate"/>
          </w:r>
          <w:r>
            <w:rPr>
              <w:rFonts w:hint="eastAsia"/>
            </w:rPr>
            <w:t>2.7仿真算法</w:t>
          </w:r>
          <w:r>
            <w:tab/>
          </w:r>
          <w:r>
            <w:fldChar w:fldCharType="begin"/>
          </w:r>
          <w:r>
            <w:instrText xml:space="preserve"> PAGEREF _Toc17447 \h </w:instrText>
          </w:r>
          <w:r>
            <w:fldChar w:fldCharType="separate"/>
          </w:r>
          <w:r>
            <w:t>8</w:t>
          </w:r>
          <w:r>
            <w:fldChar w:fldCharType="end"/>
          </w:r>
          <w:r>
            <w:fldChar w:fldCharType="end"/>
          </w:r>
        </w:p>
        <w:p w14:paraId="19442521">
          <w:pPr>
            <w:pStyle w:val="8"/>
            <w:tabs>
              <w:tab w:val="right" w:leader="dot" w:pos="9355"/>
            </w:tabs>
            <w:ind w:left="960"/>
          </w:pPr>
          <w:r>
            <w:fldChar w:fldCharType="begin"/>
          </w:r>
          <w:r>
            <w:instrText xml:space="preserve"> HYPERLINK \l "_Toc4925" </w:instrText>
          </w:r>
          <w:r>
            <w:fldChar w:fldCharType="separate"/>
          </w:r>
          <w:r>
            <w:rPr>
              <w:rFonts w:hint="eastAsia"/>
            </w:rPr>
            <w:t>2.7.1入射光数值衍射传播</w:t>
          </w:r>
          <w:r>
            <w:tab/>
          </w:r>
          <w:r>
            <w:fldChar w:fldCharType="begin"/>
          </w:r>
          <w:r>
            <w:instrText xml:space="preserve"> PAGEREF _Toc4925 \h </w:instrText>
          </w:r>
          <w:r>
            <w:fldChar w:fldCharType="separate"/>
          </w:r>
          <w:r>
            <w:t>8</w:t>
          </w:r>
          <w:r>
            <w:fldChar w:fldCharType="end"/>
          </w:r>
          <w:r>
            <w:fldChar w:fldCharType="end"/>
          </w:r>
        </w:p>
        <w:p w14:paraId="66512BE4">
          <w:pPr>
            <w:pStyle w:val="8"/>
            <w:tabs>
              <w:tab w:val="right" w:leader="dot" w:pos="9355"/>
            </w:tabs>
            <w:ind w:left="960"/>
          </w:pPr>
          <w:r>
            <w:fldChar w:fldCharType="begin"/>
          </w:r>
          <w:r>
            <w:instrText xml:space="preserve"> HYPERLINK \l "_Toc29599" </w:instrText>
          </w:r>
          <w:r>
            <w:fldChar w:fldCharType="separate"/>
          </w:r>
          <w:r>
            <w:rPr>
              <w:rFonts w:hint="eastAsia"/>
            </w:rPr>
            <w:t>2.7.2光纤模场构造</w:t>
          </w:r>
          <w:r>
            <w:tab/>
          </w:r>
          <w:r>
            <w:fldChar w:fldCharType="begin"/>
          </w:r>
          <w:r>
            <w:instrText xml:space="preserve"> PAGEREF _Toc29599 \h </w:instrText>
          </w:r>
          <w:r>
            <w:fldChar w:fldCharType="separate"/>
          </w:r>
          <w:r>
            <w:t>8</w:t>
          </w:r>
          <w:r>
            <w:fldChar w:fldCharType="end"/>
          </w:r>
          <w:r>
            <w:fldChar w:fldCharType="end"/>
          </w:r>
        </w:p>
        <w:p w14:paraId="530DBFEA">
          <w:pPr>
            <w:pStyle w:val="13"/>
            <w:tabs>
              <w:tab w:val="right" w:leader="dot" w:pos="9355"/>
            </w:tabs>
            <w:ind w:left="480"/>
          </w:pPr>
          <w:r>
            <w:fldChar w:fldCharType="begin"/>
          </w:r>
          <w:r>
            <w:instrText xml:space="preserve"> HYPERLINK \l "_Toc7737" </w:instrText>
          </w:r>
          <w:r>
            <w:fldChar w:fldCharType="separate"/>
          </w:r>
          <w:r>
            <w:rPr>
              <w:rFonts w:hint="eastAsia"/>
            </w:rPr>
            <w:t>2.8 四透镜系统研究</w:t>
          </w:r>
          <w:r>
            <w:tab/>
          </w:r>
          <w:r>
            <w:fldChar w:fldCharType="begin"/>
          </w:r>
          <w:r>
            <w:instrText xml:space="preserve"> PAGEREF _Toc7737 \h </w:instrText>
          </w:r>
          <w:r>
            <w:fldChar w:fldCharType="separate"/>
          </w:r>
          <w:r>
            <w:t>9</w:t>
          </w:r>
          <w:r>
            <w:fldChar w:fldCharType="end"/>
          </w:r>
          <w:r>
            <w:fldChar w:fldCharType="end"/>
          </w:r>
        </w:p>
        <w:p w14:paraId="51885809">
          <w:pPr>
            <w:pStyle w:val="8"/>
            <w:tabs>
              <w:tab w:val="right" w:leader="dot" w:pos="9355"/>
            </w:tabs>
            <w:ind w:left="960"/>
          </w:pPr>
          <w:r>
            <w:fldChar w:fldCharType="begin"/>
          </w:r>
          <w:r>
            <w:instrText xml:space="preserve"> HYPERLINK \l "_Toc23837" </w:instrText>
          </w:r>
          <w:r>
            <w:fldChar w:fldCharType="separate"/>
          </w:r>
          <w:r>
            <w:rPr>
              <w:rFonts w:hint="eastAsia"/>
            </w:rPr>
            <w:t>2.8.1光路研究</w:t>
          </w:r>
          <w:r>
            <w:tab/>
          </w:r>
          <w:r>
            <w:fldChar w:fldCharType="begin"/>
          </w:r>
          <w:r>
            <w:instrText xml:space="preserve"> PAGEREF _Toc23837 \h </w:instrText>
          </w:r>
          <w:r>
            <w:fldChar w:fldCharType="separate"/>
          </w:r>
          <w:r>
            <w:t>9</w:t>
          </w:r>
          <w:r>
            <w:fldChar w:fldCharType="end"/>
          </w:r>
          <w:r>
            <w:fldChar w:fldCharType="end"/>
          </w:r>
        </w:p>
        <w:p w14:paraId="76A63DEA">
          <w:pPr>
            <w:pStyle w:val="8"/>
            <w:tabs>
              <w:tab w:val="right" w:leader="dot" w:pos="9355"/>
            </w:tabs>
            <w:ind w:left="960"/>
          </w:pPr>
          <w:r>
            <w:fldChar w:fldCharType="begin"/>
          </w:r>
          <w:r>
            <w:instrText xml:space="preserve"> HYPERLINK \l "_Toc16013" </w:instrText>
          </w:r>
          <w:r>
            <w:fldChar w:fldCharType="separate"/>
          </w:r>
          <w:r>
            <w:rPr>
              <w:rFonts w:hint="eastAsia"/>
            </w:rPr>
            <w:t>2.8.2物理解释</w:t>
          </w:r>
          <w:r>
            <w:tab/>
          </w:r>
          <w:r>
            <w:fldChar w:fldCharType="begin"/>
          </w:r>
          <w:r>
            <w:instrText xml:space="preserve"> PAGEREF _Toc16013 \h </w:instrText>
          </w:r>
          <w:r>
            <w:fldChar w:fldCharType="separate"/>
          </w:r>
          <w:r>
            <w:t>10</w:t>
          </w:r>
          <w:r>
            <w:fldChar w:fldCharType="end"/>
          </w:r>
          <w:r>
            <w:fldChar w:fldCharType="end"/>
          </w:r>
        </w:p>
        <w:p w14:paraId="62A22262">
          <w:pPr>
            <w:pStyle w:val="12"/>
            <w:tabs>
              <w:tab w:val="right" w:leader="dot" w:pos="9355"/>
            </w:tabs>
            <w:rPr>
              <w:rFonts w:eastAsia="宋体"/>
              <w:sz w:val="24"/>
            </w:rPr>
          </w:pPr>
          <w:r>
            <w:fldChar w:fldCharType="begin"/>
          </w:r>
          <w:r>
            <w:instrText xml:space="preserve"> HYPERLINK \l "_Toc29011" </w:instrText>
          </w:r>
          <w:r>
            <w:fldChar w:fldCharType="separate"/>
          </w:r>
          <w:r>
            <w:rPr>
              <w:rFonts w:hint="eastAsia" w:eastAsia="宋体"/>
              <w:sz w:val="24"/>
            </w:rPr>
            <w:t>3机器学习与寻优算法</w:t>
          </w:r>
          <w:r>
            <w:rPr>
              <w:rFonts w:eastAsia="宋体"/>
              <w:sz w:val="24"/>
            </w:rPr>
            <w:tab/>
          </w:r>
          <w:r>
            <w:rPr>
              <w:rFonts w:eastAsia="宋体"/>
              <w:sz w:val="24"/>
            </w:rPr>
            <w:fldChar w:fldCharType="begin"/>
          </w:r>
          <w:r>
            <w:rPr>
              <w:rFonts w:eastAsia="宋体"/>
              <w:sz w:val="24"/>
            </w:rPr>
            <w:instrText xml:space="preserve"> PAGEREF _Toc29011 \h </w:instrText>
          </w:r>
          <w:r>
            <w:rPr>
              <w:rFonts w:eastAsia="宋体"/>
              <w:sz w:val="24"/>
            </w:rPr>
            <w:fldChar w:fldCharType="separate"/>
          </w:r>
          <w:r>
            <w:rPr>
              <w:rFonts w:eastAsia="宋体"/>
              <w:sz w:val="24"/>
            </w:rPr>
            <w:t>11</w:t>
          </w:r>
          <w:r>
            <w:rPr>
              <w:rFonts w:eastAsia="宋体"/>
              <w:sz w:val="24"/>
            </w:rPr>
            <w:fldChar w:fldCharType="end"/>
          </w:r>
          <w:r>
            <w:rPr>
              <w:rFonts w:eastAsia="宋体"/>
              <w:sz w:val="24"/>
            </w:rPr>
            <w:fldChar w:fldCharType="end"/>
          </w:r>
        </w:p>
        <w:p w14:paraId="010DE47E">
          <w:pPr>
            <w:pStyle w:val="13"/>
            <w:tabs>
              <w:tab w:val="right" w:leader="dot" w:pos="9355"/>
            </w:tabs>
            <w:ind w:left="480"/>
          </w:pPr>
          <w:r>
            <w:fldChar w:fldCharType="begin"/>
          </w:r>
          <w:r>
            <w:instrText xml:space="preserve"> HYPERLINK \l "_Toc32621" </w:instrText>
          </w:r>
          <w:r>
            <w:fldChar w:fldCharType="separate"/>
          </w:r>
          <w:r>
            <w:rPr>
              <w:rFonts w:hint="eastAsia"/>
            </w:rPr>
            <w:t>3.1整体设计理念</w:t>
          </w:r>
          <w:r>
            <w:tab/>
          </w:r>
          <w:r>
            <w:fldChar w:fldCharType="begin"/>
          </w:r>
          <w:r>
            <w:instrText xml:space="preserve"> PAGEREF _Toc32621 \h </w:instrText>
          </w:r>
          <w:r>
            <w:fldChar w:fldCharType="separate"/>
          </w:r>
          <w:r>
            <w:t>11</w:t>
          </w:r>
          <w:r>
            <w:fldChar w:fldCharType="end"/>
          </w:r>
          <w:r>
            <w:fldChar w:fldCharType="end"/>
          </w:r>
        </w:p>
        <w:p w14:paraId="0D0375EA">
          <w:pPr>
            <w:pStyle w:val="13"/>
            <w:tabs>
              <w:tab w:val="right" w:leader="dot" w:pos="9355"/>
            </w:tabs>
            <w:ind w:left="480"/>
          </w:pPr>
          <w:r>
            <w:fldChar w:fldCharType="begin"/>
          </w:r>
          <w:r>
            <w:instrText xml:space="preserve"> HYPERLINK \l "_Toc7886" </w:instrText>
          </w:r>
          <w:r>
            <w:fldChar w:fldCharType="separate"/>
          </w:r>
          <w:r>
            <w:rPr>
              <w:rFonts w:hint="eastAsia"/>
            </w:rPr>
            <w:t>3.2 BiLSTM</w:t>
          </w:r>
          <w:r>
            <w:tab/>
          </w:r>
          <w:r>
            <w:fldChar w:fldCharType="begin"/>
          </w:r>
          <w:r>
            <w:instrText xml:space="preserve"> PAGEREF _Toc7886 \h </w:instrText>
          </w:r>
          <w:r>
            <w:fldChar w:fldCharType="separate"/>
          </w:r>
          <w:r>
            <w:t>11</w:t>
          </w:r>
          <w:r>
            <w:fldChar w:fldCharType="end"/>
          </w:r>
          <w:r>
            <w:fldChar w:fldCharType="end"/>
          </w:r>
        </w:p>
        <w:p w14:paraId="58CF5811">
          <w:pPr>
            <w:pStyle w:val="8"/>
            <w:tabs>
              <w:tab w:val="right" w:leader="dot" w:pos="9355"/>
            </w:tabs>
            <w:ind w:left="960"/>
          </w:pPr>
          <w:r>
            <w:fldChar w:fldCharType="begin"/>
          </w:r>
          <w:r>
            <w:instrText xml:space="preserve"> HYPERLINK \l "_Toc27851" </w:instrText>
          </w:r>
          <w:r>
            <w:fldChar w:fldCharType="separate"/>
          </w:r>
          <w:r>
            <w:rPr>
              <w:rFonts w:hint="eastAsia"/>
            </w:rPr>
            <w:t>3.2.1 BiLSTM原理</w:t>
          </w:r>
          <w:r>
            <w:tab/>
          </w:r>
          <w:r>
            <w:fldChar w:fldCharType="begin"/>
          </w:r>
          <w:r>
            <w:instrText xml:space="preserve"> PAGEREF _Toc27851 \h </w:instrText>
          </w:r>
          <w:r>
            <w:fldChar w:fldCharType="separate"/>
          </w:r>
          <w:r>
            <w:t>11</w:t>
          </w:r>
          <w:r>
            <w:fldChar w:fldCharType="end"/>
          </w:r>
          <w:r>
            <w:fldChar w:fldCharType="end"/>
          </w:r>
        </w:p>
        <w:p w14:paraId="25726326">
          <w:pPr>
            <w:pStyle w:val="8"/>
            <w:tabs>
              <w:tab w:val="right" w:leader="dot" w:pos="9355"/>
            </w:tabs>
            <w:ind w:left="960"/>
          </w:pPr>
          <w:r>
            <w:fldChar w:fldCharType="begin"/>
          </w:r>
          <w:r>
            <w:instrText xml:space="preserve"> HYPERLINK \l "_Toc8936" </w:instrText>
          </w:r>
          <w:r>
            <w:fldChar w:fldCharType="separate"/>
          </w:r>
          <w:r>
            <w:rPr>
              <w:rFonts w:hint="eastAsia"/>
            </w:rPr>
            <w:t>3.2.2 光学结构序列表示</w:t>
          </w:r>
          <w:r>
            <w:tab/>
          </w:r>
          <w:r>
            <w:fldChar w:fldCharType="begin"/>
          </w:r>
          <w:r>
            <w:instrText xml:space="preserve"> PAGEREF _Toc8936 \h </w:instrText>
          </w:r>
          <w:r>
            <w:fldChar w:fldCharType="separate"/>
          </w:r>
          <w:r>
            <w:t>12</w:t>
          </w:r>
          <w:r>
            <w:fldChar w:fldCharType="end"/>
          </w:r>
          <w:r>
            <w:fldChar w:fldCharType="end"/>
          </w:r>
        </w:p>
        <w:p w14:paraId="3052783B">
          <w:pPr>
            <w:pStyle w:val="13"/>
            <w:tabs>
              <w:tab w:val="right" w:leader="dot" w:pos="9355"/>
            </w:tabs>
            <w:ind w:left="480"/>
          </w:pPr>
          <w:r>
            <w:fldChar w:fldCharType="begin"/>
          </w:r>
          <w:r>
            <w:instrText xml:space="preserve"> HYPERLINK \l "_Toc29442" </w:instrText>
          </w:r>
          <w:r>
            <w:fldChar w:fldCharType="separate"/>
          </w:r>
          <w:r>
            <w:rPr>
              <w:rFonts w:hint="eastAsia"/>
            </w:rPr>
            <w:t>3.3 随机森林与XGBoost</w:t>
          </w:r>
          <w:r>
            <w:tab/>
          </w:r>
          <w:r>
            <w:fldChar w:fldCharType="begin"/>
          </w:r>
          <w:r>
            <w:instrText xml:space="preserve"> PAGEREF _Toc29442 \h </w:instrText>
          </w:r>
          <w:r>
            <w:fldChar w:fldCharType="separate"/>
          </w:r>
          <w:r>
            <w:t>12</w:t>
          </w:r>
          <w:r>
            <w:fldChar w:fldCharType="end"/>
          </w:r>
          <w:r>
            <w:fldChar w:fldCharType="end"/>
          </w:r>
        </w:p>
        <w:p w14:paraId="66DB3796">
          <w:pPr>
            <w:pStyle w:val="8"/>
            <w:tabs>
              <w:tab w:val="right" w:leader="dot" w:pos="9355"/>
            </w:tabs>
            <w:ind w:left="960"/>
          </w:pPr>
          <w:r>
            <w:fldChar w:fldCharType="begin"/>
          </w:r>
          <w:r>
            <w:instrText xml:space="preserve"> HYPERLINK \l "_Toc29520" </w:instrText>
          </w:r>
          <w:r>
            <w:fldChar w:fldCharType="separate"/>
          </w:r>
          <w:r>
            <w:rPr>
              <w:rFonts w:hint="eastAsia"/>
            </w:rPr>
            <w:t>3.3.1随机森林与XGBoost原理</w:t>
          </w:r>
          <w:r>
            <w:tab/>
          </w:r>
          <w:r>
            <w:fldChar w:fldCharType="begin"/>
          </w:r>
          <w:r>
            <w:instrText xml:space="preserve"> PAGEREF _Toc29520 \h </w:instrText>
          </w:r>
          <w:r>
            <w:fldChar w:fldCharType="separate"/>
          </w:r>
          <w:r>
            <w:t>12</w:t>
          </w:r>
          <w:r>
            <w:fldChar w:fldCharType="end"/>
          </w:r>
          <w:r>
            <w:fldChar w:fldCharType="end"/>
          </w:r>
        </w:p>
        <w:p w14:paraId="02F072A0">
          <w:pPr>
            <w:pStyle w:val="8"/>
            <w:tabs>
              <w:tab w:val="right" w:leader="dot" w:pos="9355"/>
            </w:tabs>
            <w:ind w:left="960"/>
          </w:pPr>
          <w:r>
            <w:fldChar w:fldCharType="begin"/>
          </w:r>
          <w:r>
            <w:instrText xml:space="preserve"> HYPERLINK \l "_Toc2241" </w:instrText>
          </w:r>
          <w:r>
            <w:fldChar w:fldCharType="separate"/>
          </w:r>
          <w:r>
            <w:t>3.3.2 物理融合</w:t>
          </w:r>
          <w:r>
            <w:tab/>
          </w:r>
          <w:r>
            <w:fldChar w:fldCharType="begin"/>
          </w:r>
          <w:r>
            <w:instrText xml:space="preserve"> PAGEREF _Toc2241 \h </w:instrText>
          </w:r>
          <w:r>
            <w:fldChar w:fldCharType="separate"/>
          </w:r>
          <w:r>
            <w:t>15</w:t>
          </w:r>
          <w:r>
            <w:fldChar w:fldCharType="end"/>
          </w:r>
          <w:r>
            <w:fldChar w:fldCharType="end"/>
          </w:r>
        </w:p>
        <w:p w14:paraId="5D6A24A3">
          <w:pPr>
            <w:pStyle w:val="13"/>
            <w:tabs>
              <w:tab w:val="right" w:leader="dot" w:pos="9355"/>
            </w:tabs>
            <w:ind w:left="480"/>
          </w:pPr>
          <w:r>
            <w:fldChar w:fldCharType="begin"/>
          </w:r>
          <w:r>
            <w:instrText xml:space="preserve"> HYPERLINK \l "_Toc3279" </w:instrText>
          </w:r>
          <w:r>
            <w:fldChar w:fldCharType="separate"/>
          </w:r>
          <w:r>
            <w:rPr>
              <w:rFonts w:hint="eastAsia"/>
            </w:rPr>
            <w:t>3.4寻优算法</w:t>
          </w:r>
          <w:r>
            <w:tab/>
          </w:r>
          <w:r>
            <w:fldChar w:fldCharType="begin"/>
          </w:r>
          <w:r>
            <w:instrText xml:space="preserve"> PAGEREF _Toc3279 \h </w:instrText>
          </w:r>
          <w:r>
            <w:fldChar w:fldCharType="separate"/>
          </w:r>
          <w:r>
            <w:t>16</w:t>
          </w:r>
          <w:r>
            <w:fldChar w:fldCharType="end"/>
          </w:r>
          <w:r>
            <w:fldChar w:fldCharType="end"/>
          </w:r>
        </w:p>
        <w:p w14:paraId="4C0C6A1E">
          <w:pPr>
            <w:pStyle w:val="8"/>
            <w:tabs>
              <w:tab w:val="right" w:leader="dot" w:pos="9355"/>
            </w:tabs>
            <w:ind w:left="960"/>
          </w:pPr>
          <w:r>
            <w:fldChar w:fldCharType="begin"/>
          </w:r>
          <w:r>
            <w:instrText xml:space="preserve"> HYPERLINK \l "_Toc23865" </w:instrText>
          </w:r>
          <w:r>
            <w:fldChar w:fldCharType="separate"/>
          </w:r>
          <w:r>
            <w:rPr>
              <w:rFonts w:hint="eastAsia"/>
            </w:rPr>
            <w:t>3.4.1贝叶斯优化和差分进化算法原理</w:t>
          </w:r>
          <w:r>
            <w:tab/>
          </w:r>
          <w:r>
            <w:fldChar w:fldCharType="begin"/>
          </w:r>
          <w:r>
            <w:instrText xml:space="preserve"> PAGEREF _Toc23865 \h </w:instrText>
          </w:r>
          <w:r>
            <w:fldChar w:fldCharType="separate"/>
          </w:r>
          <w:r>
            <w:t>16</w:t>
          </w:r>
          <w:r>
            <w:fldChar w:fldCharType="end"/>
          </w:r>
          <w:r>
            <w:fldChar w:fldCharType="end"/>
          </w:r>
        </w:p>
        <w:p w14:paraId="134FD6C5">
          <w:pPr>
            <w:pStyle w:val="8"/>
            <w:tabs>
              <w:tab w:val="right" w:leader="dot" w:pos="9355"/>
            </w:tabs>
            <w:ind w:left="960"/>
          </w:pPr>
          <w:r>
            <w:fldChar w:fldCharType="begin"/>
          </w:r>
          <w:r>
            <w:instrText xml:space="preserve"> HYPERLINK \l "_Toc6445" </w:instrText>
          </w:r>
          <w:r>
            <w:fldChar w:fldCharType="separate"/>
          </w:r>
          <w:r>
            <w:rPr>
              <w:rFonts w:hint="eastAsia"/>
            </w:rPr>
            <w:t>3.4.2 Powell优化算法</w:t>
          </w:r>
          <w:r>
            <w:tab/>
          </w:r>
          <w:r>
            <w:fldChar w:fldCharType="begin"/>
          </w:r>
          <w:r>
            <w:instrText xml:space="preserve"> PAGEREF _Toc6445 \h </w:instrText>
          </w:r>
          <w:r>
            <w:fldChar w:fldCharType="separate"/>
          </w:r>
          <w:r>
            <w:t>19</w:t>
          </w:r>
          <w:r>
            <w:fldChar w:fldCharType="end"/>
          </w:r>
          <w:r>
            <w:fldChar w:fldCharType="end"/>
          </w:r>
        </w:p>
        <w:p w14:paraId="78EEFD2F">
          <w:pPr>
            <w:pStyle w:val="13"/>
            <w:tabs>
              <w:tab w:val="right" w:leader="dot" w:pos="9355"/>
            </w:tabs>
            <w:ind w:left="480"/>
          </w:pPr>
          <w:r>
            <w:fldChar w:fldCharType="begin"/>
          </w:r>
          <w:r>
            <w:instrText xml:space="preserve"> HYPERLINK \l "_Toc21734" </w:instrText>
          </w:r>
          <w:r>
            <w:fldChar w:fldCharType="separate"/>
          </w:r>
          <w:r>
            <w:rPr>
              <w:rFonts w:hint="eastAsia"/>
            </w:rPr>
            <w:t>3.5 SHAP</w:t>
          </w:r>
          <w:r>
            <w:tab/>
          </w:r>
          <w:r>
            <w:fldChar w:fldCharType="begin"/>
          </w:r>
          <w:r>
            <w:instrText xml:space="preserve"> PAGEREF _Toc21734 \h </w:instrText>
          </w:r>
          <w:r>
            <w:fldChar w:fldCharType="separate"/>
          </w:r>
          <w:r>
            <w:t>19</w:t>
          </w:r>
          <w:r>
            <w:fldChar w:fldCharType="end"/>
          </w:r>
          <w:r>
            <w:fldChar w:fldCharType="end"/>
          </w:r>
        </w:p>
        <w:p w14:paraId="0373E811">
          <w:pPr>
            <w:pStyle w:val="8"/>
            <w:tabs>
              <w:tab w:val="right" w:leader="dot" w:pos="9355"/>
            </w:tabs>
            <w:ind w:left="960"/>
          </w:pPr>
          <w:r>
            <w:fldChar w:fldCharType="begin"/>
          </w:r>
          <w:r>
            <w:instrText xml:space="preserve"> HYPERLINK \l "_Toc11632" </w:instrText>
          </w:r>
          <w:r>
            <w:fldChar w:fldCharType="separate"/>
          </w:r>
          <w:r>
            <w:rPr>
              <w:rFonts w:hint="eastAsia"/>
            </w:rPr>
            <w:t>3.5.1 SHAP原理</w:t>
          </w:r>
          <w:r>
            <w:tab/>
          </w:r>
          <w:r>
            <w:fldChar w:fldCharType="begin"/>
          </w:r>
          <w:r>
            <w:instrText xml:space="preserve"> PAGEREF _Toc11632 \h </w:instrText>
          </w:r>
          <w:r>
            <w:fldChar w:fldCharType="separate"/>
          </w:r>
          <w:r>
            <w:t>19</w:t>
          </w:r>
          <w:r>
            <w:fldChar w:fldCharType="end"/>
          </w:r>
          <w:r>
            <w:fldChar w:fldCharType="end"/>
          </w:r>
        </w:p>
        <w:p w14:paraId="109A8E8C">
          <w:pPr>
            <w:pStyle w:val="12"/>
            <w:tabs>
              <w:tab w:val="right" w:leader="dot" w:pos="9355"/>
            </w:tabs>
            <w:rPr>
              <w:rFonts w:eastAsia="宋体"/>
              <w:sz w:val="24"/>
            </w:rPr>
          </w:pPr>
          <w:r>
            <w:fldChar w:fldCharType="begin"/>
          </w:r>
          <w:r>
            <w:instrText xml:space="preserve"> HYPERLINK \l "_Toc10945" </w:instrText>
          </w:r>
          <w:r>
            <w:fldChar w:fldCharType="separate"/>
          </w:r>
          <w:r>
            <w:rPr>
              <w:rFonts w:hint="eastAsia" w:eastAsia="宋体"/>
              <w:sz w:val="24"/>
            </w:rPr>
            <w:t>4仿真平台开发</w:t>
          </w:r>
          <w:r>
            <w:rPr>
              <w:rFonts w:eastAsia="宋体"/>
              <w:sz w:val="24"/>
            </w:rPr>
            <w:tab/>
          </w:r>
          <w:r>
            <w:rPr>
              <w:rFonts w:eastAsia="宋体"/>
              <w:sz w:val="24"/>
            </w:rPr>
            <w:fldChar w:fldCharType="begin"/>
          </w:r>
          <w:r>
            <w:rPr>
              <w:rFonts w:eastAsia="宋体"/>
              <w:sz w:val="24"/>
            </w:rPr>
            <w:instrText xml:space="preserve"> PAGEREF _Toc10945 \h </w:instrText>
          </w:r>
          <w:r>
            <w:rPr>
              <w:rFonts w:eastAsia="宋体"/>
              <w:sz w:val="24"/>
            </w:rPr>
            <w:fldChar w:fldCharType="separate"/>
          </w:r>
          <w:r>
            <w:rPr>
              <w:rFonts w:eastAsia="宋体"/>
              <w:sz w:val="24"/>
            </w:rPr>
            <w:t>20</w:t>
          </w:r>
          <w:r>
            <w:rPr>
              <w:rFonts w:eastAsia="宋体"/>
              <w:sz w:val="24"/>
            </w:rPr>
            <w:fldChar w:fldCharType="end"/>
          </w:r>
          <w:r>
            <w:rPr>
              <w:rFonts w:eastAsia="宋体"/>
              <w:sz w:val="24"/>
            </w:rPr>
            <w:fldChar w:fldCharType="end"/>
          </w:r>
        </w:p>
        <w:p w14:paraId="145B5772">
          <w:pPr>
            <w:pStyle w:val="12"/>
            <w:tabs>
              <w:tab w:val="right" w:leader="dot" w:pos="9355"/>
            </w:tabs>
            <w:rPr>
              <w:rFonts w:eastAsia="宋体"/>
              <w:sz w:val="24"/>
            </w:rPr>
          </w:pPr>
          <w:r>
            <w:fldChar w:fldCharType="begin"/>
          </w:r>
          <w:r>
            <w:instrText xml:space="preserve"> HYPERLINK \l "_Toc25905" </w:instrText>
          </w:r>
          <w:r>
            <w:fldChar w:fldCharType="separate"/>
          </w:r>
          <w:r>
            <w:rPr>
              <w:rFonts w:hint="eastAsia" w:eastAsia="宋体"/>
              <w:sz w:val="24"/>
            </w:rPr>
            <w:t>5平台功能介绍</w:t>
          </w:r>
          <w:r>
            <w:rPr>
              <w:rFonts w:eastAsia="宋体"/>
              <w:sz w:val="24"/>
            </w:rPr>
            <w:tab/>
          </w:r>
          <w:r>
            <w:rPr>
              <w:rFonts w:eastAsia="宋体"/>
              <w:sz w:val="24"/>
            </w:rPr>
            <w:fldChar w:fldCharType="begin"/>
          </w:r>
          <w:r>
            <w:rPr>
              <w:rFonts w:eastAsia="宋体"/>
              <w:sz w:val="24"/>
            </w:rPr>
            <w:instrText xml:space="preserve"> PAGEREF _Toc25905 \h </w:instrText>
          </w:r>
          <w:r>
            <w:rPr>
              <w:rFonts w:eastAsia="宋体"/>
              <w:sz w:val="24"/>
            </w:rPr>
            <w:fldChar w:fldCharType="separate"/>
          </w:r>
          <w:r>
            <w:rPr>
              <w:rFonts w:eastAsia="宋体"/>
              <w:sz w:val="24"/>
            </w:rPr>
            <w:t>21</w:t>
          </w:r>
          <w:r>
            <w:rPr>
              <w:rFonts w:eastAsia="宋体"/>
              <w:sz w:val="24"/>
            </w:rPr>
            <w:fldChar w:fldCharType="end"/>
          </w:r>
          <w:r>
            <w:rPr>
              <w:rFonts w:eastAsia="宋体"/>
              <w:sz w:val="24"/>
            </w:rPr>
            <w:fldChar w:fldCharType="end"/>
          </w:r>
        </w:p>
        <w:p w14:paraId="0F3667F0">
          <w:pPr>
            <w:pStyle w:val="12"/>
            <w:tabs>
              <w:tab w:val="right" w:leader="dot" w:pos="9355"/>
            </w:tabs>
            <w:rPr>
              <w:rFonts w:eastAsia="宋体"/>
              <w:sz w:val="24"/>
            </w:rPr>
          </w:pPr>
          <w:r>
            <w:fldChar w:fldCharType="begin"/>
          </w:r>
          <w:r>
            <w:instrText xml:space="preserve"> HYPERLINK \l "_Toc24503" </w:instrText>
          </w:r>
          <w:r>
            <w:fldChar w:fldCharType="separate"/>
          </w:r>
          <w:r>
            <w:rPr>
              <w:rFonts w:hint="eastAsia" w:eastAsia="宋体"/>
              <w:sz w:val="24"/>
            </w:rPr>
            <w:t>6 实验验证</w:t>
          </w:r>
          <w:r>
            <w:rPr>
              <w:rFonts w:eastAsia="宋体"/>
              <w:sz w:val="24"/>
            </w:rPr>
            <w:tab/>
          </w:r>
          <w:r>
            <w:rPr>
              <w:rFonts w:eastAsia="宋体"/>
              <w:sz w:val="24"/>
            </w:rPr>
            <w:fldChar w:fldCharType="begin"/>
          </w:r>
          <w:r>
            <w:rPr>
              <w:rFonts w:eastAsia="宋体"/>
              <w:sz w:val="24"/>
            </w:rPr>
            <w:instrText xml:space="preserve"> PAGEREF _Toc24503 \h </w:instrText>
          </w:r>
          <w:r>
            <w:rPr>
              <w:rFonts w:eastAsia="宋体"/>
              <w:sz w:val="24"/>
            </w:rPr>
            <w:fldChar w:fldCharType="separate"/>
          </w:r>
          <w:r>
            <w:rPr>
              <w:rFonts w:eastAsia="宋体"/>
              <w:sz w:val="24"/>
            </w:rPr>
            <w:t>21</w:t>
          </w:r>
          <w:r>
            <w:rPr>
              <w:rFonts w:eastAsia="宋体"/>
              <w:sz w:val="24"/>
            </w:rPr>
            <w:fldChar w:fldCharType="end"/>
          </w:r>
          <w:r>
            <w:rPr>
              <w:rFonts w:eastAsia="宋体"/>
              <w:sz w:val="24"/>
            </w:rPr>
            <w:fldChar w:fldCharType="end"/>
          </w:r>
        </w:p>
        <w:p w14:paraId="353E2C84">
          <w:pPr>
            <w:pStyle w:val="13"/>
            <w:tabs>
              <w:tab w:val="right" w:leader="dot" w:pos="9355"/>
            </w:tabs>
            <w:ind w:left="480"/>
          </w:pPr>
          <w:r>
            <w:fldChar w:fldCharType="begin"/>
          </w:r>
          <w:r>
            <w:instrText xml:space="preserve"> HYPERLINK \l "_Toc23124" </w:instrText>
          </w:r>
          <w:r>
            <w:fldChar w:fldCharType="separate"/>
          </w:r>
          <w:r>
            <w:t>6.1 实验一：CCD 拍摄单透镜光斑与 RMS 半径计算</w:t>
          </w:r>
          <w:r>
            <w:tab/>
          </w:r>
          <w:r>
            <w:fldChar w:fldCharType="begin"/>
          </w:r>
          <w:r>
            <w:instrText xml:space="preserve"> PAGEREF _Toc23124 \h </w:instrText>
          </w:r>
          <w:r>
            <w:fldChar w:fldCharType="separate"/>
          </w:r>
          <w:r>
            <w:t>27</w:t>
          </w:r>
          <w:r>
            <w:fldChar w:fldCharType="end"/>
          </w:r>
          <w:r>
            <w:fldChar w:fldCharType="end"/>
          </w:r>
        </w:p>
        <w:p w14:paraId="2D3EA4FD">
          <w:pPr>
            <w:pStyle w:val="8"/>
            <w:tabs>
              <w:tab w:val="right" w:leader="dot" w:pos="9355"/>
            </w:tabs>
            <w:ind w:left="960"/>
          </w:pPr>
          <w:r>
            <w:fldChar w:fldCharType="begin"/>
          </w:r>
          <w:r>
            <w:instrText xml:space="preserve"> HYPERLINK \l "_Toc13539" </w:instrText>
          </w:r>
          <w:r>
            <w:fldChar w:fldCharType="separate"/>
          </w:r>
          <w:r>
            <w:t>6.1.1 实验目的</w:t>
          </w:r>
          <w:r>
            <w:tab/>
          </w:r>
          <w:r>
            <w:fldChar w:fldCharType="begin"/>
          </w:r>
          <w:r>
            <w:instrText xml:space="preserve"> PAGEREF _Toc13539 \h </w:instrText>
          </w:r>
          <w:r>
            <w:fldChar w:fldCharType="separate"/>
          </w:r>
          <w:r>
            <w:t>27</w:t>
          </w:r>
          <w:r>
            <w:fldChar w:fldCharType="end"/>
          </w:r>
          <w:r>
            <w:fldChar w:fldCharType="end"/>
          </w:r>
        </w:p>
        <w:p w14:paraId="574C3A00">
          <w:pPr>
            <w:pStyle w:val="8"/>
            <w:tabs>
              <w:tab w:val="right" w:leader="dot" w:pos="9355"/>
            </w:tabs>
            <w:ind w:left="960"/>
          </w:pPr>
          <w:r>
            <w:fldChar w:fldCharType="begin"/>
          </w:r>
          <w:r>
            <w:instrText xml:space="preserve"> HYPERLINK \l "_Toc27439" </w:instrText>
          </w:r>
          <w:r>
            <w:fldChar w:fldCharType="separate"/>
          </w:r>
          <w:r>
            <w:t>6.1.2 实验原理</w:t>
          </w:r>
          <w:r>
            <w:tab/>
          </w:r>
          <w:r>
            <w:fldChar w:fldCharType="begin"/>
          </w:r>
          <w:r>
            <w:instrText xml:space="preserve"> PAGEREF _Toc27439 \h </w:instrText>
          </w:r>
          <w:r>
            <w:fldChar w:fldCharType="separate"/>
          </w:r>
          <w:r>
            <w:t>27</w:t>
          </w:r>
          <w:r>
            <w:fldChar w:fldCharType="end"/>
          </w:r>
          <w:r>
            <w:fldChar w:fldCharType="end"/>
          </w:r>
        </w:p>
        <w:p w14:paraId="225A05C4">
          <w:pPr>
            <w:pStyle w:val="8"/>
            <w:tabs>
              <w:tab w:val="right" w:leader="dot" w:pos="9355"/>
            </w:tabs>
            <w:ind w:left="960"/>
          </w:pPr>
          <w:r>
            <w:fldChar w:fldCharType="begin"/>
          </w:r>
          <w:r>
            <w:instrText xml:space="preserve"> HYPERLINK \l "_Toc18127" </w:instrText>
          </w:r>
          <w:r>
            <w:fldChar w:fldCharType="separate"/>
          </w:r>
          <w:r>
            <w:t>6.1.3 实验器材与步骤</w:t>
          </w:r>
          <w:r>
            <w:tab/>
          </w:r>
          <w:r>
            <w:fldChar w:fldCharType="begin"/>
          </w:r>
          <w:r>
            <w:instrText xml:space="preserve"> PAGEREF _Toc18127 \h </w:instrText>
          </w:r>
          <w:r>
            <w:fldChar w:fldCharType="separate"/>
          </w:r>
          <w:r>
            <w:t>27</w:t>
          </w:r>
          <w:r>
            <w:fldChar w:fldCharType="end"/>
          </w:r>
          <w:r>
            <w:fldChar w:fldCharType="end"/>
          </w:r>
        </w:p>
        <w:p w14:paraId="729BFC07">
          <w:pPr>
            <w:pStyle w:val="8"/>
            <w:tabs>
              <w:tab w:val="right" w:leader="dot" w:pos="9355"/>
            </w:tabs>
            <w:ind w:left="960"/>
          </w:pPr>
          <w:r>
            <w:fldChar w:fldCharType="begin"/>
          </w:r>
          <w:r>
            <w:instrText xml:space="preserve"> HYPERLINK \l "_Toc1812" </w:instrText>
          </w:r>
          <w:r>
            <w:fldChar w:fldCharType="separate"/>
          </w:r>
          <w:r>
            <w:t>6.1.4 实验结果与仿真对比</w:t>
          </w:r>
          <w:r>
            <w:tab/>
          </w:r>
          <w:r>
            <w:fldChar w:fldCharType="begin"/>
          </w:r>
          <w:r>
            <w:instrText xml:space="preserve"> PAGEREF _Toc1812 \h </w:instrText>
          </w:r>
          <w:r>
            <w:fldChar w:fldCharType="separate"/>
          </w:r>
          <w:r>
            <w:t>27</w:t>
          </w:r>
          <w:r>
            <w:fldChar w:fldCharType="end"/>
          </w:r>
          <w:r>
            <w:fldChar w:fldCharType="end"/>
          </w:r>
        </w:p>
        <w:p w14:paraId="652091DA">
          <w:pPr>
            <w:pStyle w:val="13"/>
            <w:tabs>
              <w:tab w:val="right" w:leader="dot" w:pos="9355"/>
            </w:tabs>
            <w:ind w:left="480"/>
          </w:pPr>
          <w:r>
            <w:fldChar w:fldCharType="begin"/>
          </w:r>
          <w:r>
            <w:instrText xml:space="preserve"> HYPERLINK \l "_Toc8392" </w:instrText>
          </w:r>
          <w:r>
            <w:fldChar w:fldCharType="separate"/>
          </w:r>
          <w:r>
            <w:t>6.2 实验二：光纤纵向失配下的耦合效率</w:t>
          </w:r>
          <w:r>
            <w:tab/>
          </w:r>
          <w:r>
            <w:fldChar w:fldCharType="begin"/>
          </w:r>
          <w:r>
            <w:instrText xml:space="preserve"> PAGEREF _Toc8392 \h </w:instrText>
          </w:r>
          <w:r>
            <w:fldChar w:fldCharType="separate"/>
          </w:r>
          <w:r>
            <w:t>28</w:t>
          </w:r>
          <w:r>
            <w:fldChar w:fldCharType="end"/>
          </w:r>
          <w:r>
            <w:fldChar w:fldCharType="end"/>
          </w:r>
        </w:p>
        <w:p w14:paraId="2D883508">
          <w:pPr>
            <w:pStyle w:val="8"/>
            <w:tabs>
              <w:tab w:val="right" w:leader="dot" w:pos="9355"/>
            </w:tabs>
            <w:ind w:left="960"/>
          </w:pPr>
          <w:r>
            <w:fldChar w:fldCharType="begin"/>
          </w:r>
          <w:r>
            <w:instrText xml:space="preserve"> HYPERLINK \l "_Toc2132" </w:instrText>
          </w:r>
          <w:r>
            <w:fldChar w:fldCharType="separate"/>
          </w:r>
          <w:r>
            <w:t>6.2.1 实验目的</w:t>
          </w:r>
          <w:r>
            <w:tab/>
          </w:r>
          <w:r>
            <w:fldChar w:fldCharType="begin"/>
          </w:r>
          <w:r>
            <w:instrText xml:space="preserve"> PAGEREF _Toc2132 \h </w:instrText>
          </w:r>
          <w:r>
            <w:fldChar w:fldCharType="separate"/>
          </w:r>
          <w:r>
            <w:t>28</w:t>
          </w:r>
          <w:r>
            <w:fldChar w:fldCharType="end"/>
          </w:r>
          <w:r>
            <w:fldChar w:fldCharType="end"/>
          </w:r>
        </w:p>
        <w:p w14:paraId="5D674FC4">
          <w:pPr>
            <w:pStyle w:val="8"/>
            <w:tabs>
              <w:tab w:val="right" w:leader="dot" w:pos="9355"/>
            </w:tabs>
            <w:ind w:left="960"/>
          </w:pPr>
          <w:r>
            <w:fldChar w:fldCharType="begin"/>
          </w:r>
          <w:r>
            <w:instrText xml:space="preserve"> HYPERLINK \l "_Toc10029" </w:instrText>
          </w:r>
          <w:r>
            <w:fldChar w:fldCharType="separate"/>
          </w:r>
          <w:r>
            <w:t>6.2.2 实验原理</w:t>
          </w:r>
          <w:r>
            <w:tab/>
          </w:r>
          <w:r>
            <w:fldChar w:fldCharType="begin"/>
          </w:r>
          <w:r>
            <w:instrText xml:space="preserve"> PAGEREF _Toc10029 \h </w:instrText>
          </w:r>
          <w:r>
            <w:fldChar w:fldCharType="separate"/>
          </w:r>
          <w:r>
            <w:t>28</w:t>
          </w:r>
          <w:r>
            <w:fldChar w:fldCharType="end"/>
          </w:r>
          <w:r>
            <w:fldChar w:fldCharType="end"/>
          </w:r>
        </w:p>
        <w:p w14:paraId="5F6C0691">
          <w:pPr>
            <w:pStyle w:val="8"/>
            <w:tabs>
              <w:tab w:val="right" w:leader="dot" w:pos="9355"/>
            </w:tabs>
            <w:ind w:left="960"/>
          </w:pPr>
          <w:r>
            <w:fldChar w:fldCharType="begin"/>
          </w:r>
          <w:r>
            <w:instrText xml:space="preserve"> HYPERLINK \l "_Toc12248" </w:instrText>
          </w:r>
          <w:r>
            <w:fldChar w:fldCharType="separate"/>
          </w:r>
          <w:r>
            <w:t>6.2.3 实验器材与步骤</w:t>
          </w:r>
          <w:r>
            <w:tab/>
          </w:r>
          <w:r>
            <w:fldChar w:fldCharType="begin"/>
          </w:r>
          <w:r>
            <w:instrText xml:space="preserve"> PAGEREF _Toc12248 \h </w:instrText>
          </w:r>
          <w:r>
            <w:fldChar w:fldCharType="separate"/>
          </w:r>
          <w:r>
            <w:t>28</w:t>
          </w:r>
          <w:r>
            <w:fldChar w:fldCharType="end"/>
          </w:r>
          <w:r>
            <w:fldChar w:fldCharType="end"/>
          </w:r>
        </w:p>
        <w:p w14:paraId="4E44C5E3">
          <w:pPr>
            <w:pStyle w:val="8"/>
            <w:tabs>
              <w:tab w:val="right" w:leader="dot" w:pos="9355"/>
            </w:tabs>
            <w:ind w:left="960"/>
          </w:pPr>
          <w:r>
            <w:fldChar w:fldCharType="begin"/>
          </w:r>
          <w:r>
            <w:instrText xml:space="preserve"> HYPERLINK \l "_Toc29987" </w:instrText>
          </w:r>
          <w:r>
            <w:fldChar w:fldCharType="separate"/>
          </w:r>
          <w:r>
            <w:t>6.2.4 实验结果</w:t>
          </w:r>
          <w:r>
            <w:tab/>
          </w:r>
          <w:r>
            <w:fldChar w:fldCharType="begin"/>
          </w:r>
          <w:r>
            <w:instrText xml:space="preserve"> PAGEREF _Toc29987 \h </w:instrText>
          </w:r>
          <w:r>
            <w:fldChar w:fldCharType="separate"/>
          </w:r>
          <w:r>
            <w:t>29</w:t>
          </w:r>
          <w:r>
            <w:fldChar w:fldCharType="end"/>
          </w:r>
          <w:r>
            <w:fldChar w:fldCharType="end"/>
          </w:r>
        </w:p>
        <w:p w14:paraId="3F686DCE">
          <w:pPr>
            <w:pStyle w:val="13"/>
            <w:tabs>
              <w:tab w:val="right" w:leader="dot" w:pos="9355"/>
            </w:tabs>
            <w:ind w:left="480"/>
          </w:pPr>
          <w:r>
            <w:fldChar w:fldCharType="begin"/>
          </w:r>
          <w:r>
            <w:instrText xml:space="preserve"> HYPERLINK \l "_Toc6799" </w:instrText>
          </w:r>
          <w:r>
            <w:fldChar w:fldCharType="separate"/>
          </w:r>
          <w:r>
            <w:t>6.3 实验三：光斑分析仪测量光斑</w:t>
          </w:r>
          <w:r>
            <w:tab/>
          </w:r>
          <w:r>
            <w:fldChar w:fldCharType="begin"/>
          </w:r>
          <w:r>
            <w:instrText xml:space="preserve"> PAGEREF _Toc6799 \h </w:instrText>
          </w:r>
          <w:r>
            <w:fldChar w:fldCharType="separate"/>
          </w:r>
          <w:r>
            <w:t>29</w:t>
          </w:r>
          <w:r>
            <w:fldChar w:fldCharType="end"/>
          </w:r>
          <w:r>
            <w:fldChar w:fldCharType="end"/>
          </w:r>
        </w:p>
        <w:p w14:paraId="24495799">
          <w:pPr>
            <w:pStyle w:val="8"/>
            <w:tabs>
              <w:tab w:val="right" w:leader="dot" w:pos="9355"/>
            </w:tabs>
            <w:ind w:left="960"/>
          </w:pPr>
          <w:r>
            <w:fldChar w:fldCharType="begin"/>
          </w:r>
          <w:r>
            <w:instrText xml:space="preserve"> HYPERLINK \l "_Toc20689" </w:instrText>
          </w:r>
          <w:r>
            <w:fldChar w:fldCharType="separate"/>
          </w:r>
          <w:r>
            <w:t>6.3.1 实验目的</w:t>
          </w:r>
          <w:r>
            <w:tab/>
          </w:r>
          <w:r>
            <w:fldChar w:fldCharType="begin"/>
          </w:r>
          <w:r>
            <w:instrText xml:space="preserve"> PAGEREF _Toc20689 \h </w:instrText>
          </w:r>
          <w:r>
            <w:fldChar w:fldCharType="separate"/>
          </w:r>
          <w:r>
            <w:t>29</w:t>
          </w:r>
          <w:r>
            <w:fldChar w:fldCharType="end"/>
          </w:r>
          <w:r>
            <w:fldChar w:fldCharType="end"/>
          </w:r>
        </w:p>
        <w:p w14:paraId="2CB2414E">
          <w:pPr>
            <w:pStyle w:val="8"/>
            <w:tabs>
              <w:tab w:val="right" w:leader="dot" w:pos="9355"/>
            </w:tabs>
            <w:ind w:left="960"/>
          </w:pPr>
          <w:r>
            <w:fldChar w:fldCharType="begin"/>
          </w:r>
          <w:r>
            <w:instrText xml:space="preserve"> HYPERLINK \l "_Toc26416" </w:instrText>
          </w:r>
          <w:r>
            <w:fldChar w:fldCharType="separate"/>
          </w:r>
          <w:r>
            <w:t>6.3.2 实验过程与结果</w:t>
          </w:r>
          <w:r>
            <w:tab/>
          </w:r>
          <w:r>
            <w:fldChar w:fldCharType="begin"/>
          </w:r>
          <w:r>
            <w:instrText xml:space="preserve"> PAGEREF _Toc26416 \h </w:instrText>
          </w:r>
          <w:r>
            <w:fldChar w:fldCharType="separate"/>
          </w:r>
          <w:r>
            <w:t>29</w:t>
          </w:r>
          <w:r>
            <w:fldChar w:fldCharType="end"/>
          </w:r>
          <w:r>
            <w:fldChar w:fldCharType="end"/>
          </w:r>
        </w:p>
        <w:p w14:paraId="4D801411">
          <w:pPr>
            <w:pStyle w:val="13"/>
            <w:tabs>
              <w:tab w:val="right" w:leader="dot" w:pos="9355"/>
            </w:tabs>
            <w:ind w:left="480"/>
          </w:pPr>
          <w:r>
            <w:fldChar w:fldCharType="begin"/>
          </w:r>
          <w:r>
            <w:instrText xml:space="preserve"> HYPERLINK \l "_Toc12945" </w:instrText>
          </w:r>
          <w:r>
            <w:fldChar w:fldCharType="separate"/>
          </w:r>
          <w:r>
            <w:t>6.4 实验误差分析</w:t>
          </w:r>
          <w:r>
            <w:tab/>
          </w:r>
          <w:r>
            <w:fldChar w:fldCharType="begin"/>
          </w:r>
          <w:r>
            <w:instrText xml:space="preserve"> PAGEREF _Toc12945 \h </w:instrText>
          </w:r>
          <w:r>
            <w:fldChar w:fldCharType="separate"/>
          </w:r>
          <w:r>
            <w:t>29</w:t>
          </w:r>
          <w:r>
            <w:fldChar w:fldCharType="end"/>
          </w:r>
          <w:r>
            <w:fldChar w:fldCharType="end"/>
          </w:r>
        </w:p>
        <w:p w14:paraId="458EBBFF">
          <w:pPr>
            <w:pStyle w:val="12"/>
            <w:tabs>
              <w:tab w:val="right" w:leader="dot" w:pos="9355"/>
            </w:tabs>
            <w:rPr>
              <w:rFonts w:eastAsia="宋体"/>
              <w:sz w:val="24"/>
            </w:rPr>
          </w:pPr>
          <w:r>
            <w:fldChar w:fldCharType="begin"/>
          </w:r>
          <w:r>
            <w:instrText xml:space="preserve"> HYPERLINK \l "_Toc14112" </w:instrText>
          </w:r>
          <w:r>
            <w:fldChar w:fldCharType="separate"/>
          </w:r>
          <w:r>
            <w:rPr>
              <w:rFonts w:hint="eastAsia" w:eastAsia="宋体"/>
              <w:sz w:val="24"/>
            </w:rPr>
            <w:t>7总结及展望</w:t>
          </w:r>
          <w:r>
            <w:rPr>
              <w:rFonts w:eastAsia="宋体"/>
              <w:sz w:val="24"/>
            </w:rPr>
            <w:tab/>
          </w:r>
          <w:r>
            <w:rPr>
              <w:rFonts w:eastAsia="宋体"/>
              <w:sz w:val="24"/>
            </w:rPr>
            <w:fldChar w:fldCharType="begin"/>
          </w:r>
          <w:r>
            <w:rPr>
              <w:rFonts w:eastAsia="宋体"/>
              <w:sz w:val="24"/>
            </w:rPr>
            <w:instrText xml:space="preserve"> PAGEREF _Toc14112 \h </w:instrText>
          </w:r>
          <w:r>
            <w:rPr>
              <w:rFonts w:eastAsia="宋体"/>
              <w:sz w:val="24"/>
            </w:rPr>
            <w:fldChar w:fldCharType="separate"/>
          </w:r>
          <w:r>
            <w:rPr>
              <w:rFonts w:eastAsia="宋体"/>
              <w:sz w:val="24"/>
            </w:rPr>
            <w:t>30</w:t>
          </w:r>
          <w:r>
            <w:rPr>
              <w:rFonts w:eastAsia="宋体"/>
              <w:sz w:val="24"/>
            </w:rPr>
            <w:fldChar w:fldCharType="end"/>
          </w:r>
          <w:r>
            <w:rPr>
              <w:rFonts w:eastAsia="宋体"/>
              <w:sz w:val="24"/>
            </w:rPr>
            <w:fldChar w:fldCharType="end"/>
          </w:r>
        </w:p>
        <w:p w14:paraId="0FCF0E17">
          <w:pPr>
            <w:pStyle w:val="13"/>
            <w:tabs>
              <w:tab w:val="right" w:leader="dot" w:pos="9355"/>
            </w:tabs>
            <w:ind w:left="480"/>
          </w:pPr>
          <w:r>
            <w:fldChar w:fldCharType="begin"/>
          </w:r>
          <w:r>
            <w:instrText xml:space="preserve"> HYPERLINK \l "_Toc32456" </w:instrText>
          </w:r>
          <w:r>
            <w:fldChar w:fldCharType="separate"/>
          </w:r>
          <w:r>
            <w:t>7.1 仿真平台的优势</w:t>
          </w:r>
          <w:r>
            <w:tab/>
          </w:r>
          <w:r>
            <w:fldChar w:fldCharType="begin"/>
          </w:r>
          <w:r>
            <w:instrText xml:space="preserve"> PAGEREF _Toc32456 \h </w:instrText>
          </w:r>
          <w:r>
            <w:fldChar w:fldCharType="separate"/>
          </w:r>
          <w:r>
            <w:t>30</w:t>
          </w:r>
          <w:r>
            <w:fldChar w:fldCharType="end"/>
          </w:r>
          <w:r>
            <w:fldChar w:fldCharType="end"/>
          </w:r>
        </w:p>
        <w:p w14:paraId="155C43C7">
          <w:pPr>
            <w:pStyle w:val="13"/>
            <w:tabs>
              <w:tab w:val="right" w:leader="dot" w:pos="9355"/>
            </w:tabs>
            <w:ind w:left="480"/>
          </w:pPr>
          <w:r>
            <w:fldChar w:fldCharType="begin"/>
          </w:r>
          <w:r>
            <w:instrText xml:space="preserve"> HYPERLINK \l "_Toc19329" </w:instrText>
          </w:r>
          <w:r>
            <w:fldChar w:fldCharType="separate"/>
          </w:r>
          <w:r>
            <w:t>7.2 局限性及改进</w:t>
          </w:r>
          <w:r>
            <w:tab/>
          </w:r>
          <w:r>
            <w:fldChar w:fldCharType="begin"/>
          </w:r>
          <w:r>
            <w:instrText xml:space="preserve"> PAGEREF _Toc19329 \h </w:instrText>
          </w:r>
          <w:r>
            <w:fldChar w:fldCharType="separate"/>
          </w:r>
          <w:r>
            <w:t>30</w:t>
          </w:r>
          <w:r>
            <w:fldChar w:fldCharType="end"/>
          </w:r>
          <w:r>
            <w:fldChar w:fldCharType="end"/>
          </w:r>
        </w:p>
        <w:p w14:paraId="0FA0DE58">
          <w:pPr>
            <w:pStyle w:val="13"/>
            <w:tabs>
              <w:tab w:val="right" w:leader="dot" w:pos="9355"/>
            </w:tabs>
            <w:ind w:left="480"/>
          </w:pPr>
          <w:r>
            <w:fldChar w:fldCharType="begin"/>
          </w:r>
          <w:r>
            <w:instrText xml:space="preserve"> HYPERLINK \l "_Toc20277" </w:instrText>
          </w:r>
          <w:r>
            <w:fldChar w:fldCharType="separate"/>
          </w:r>
          <w:r>
            <w:t>7.3 展望</w:t>
          </w:r>
          <w:r>
            <w:tab/>
          </w:r>
          <w:r>
            <w:fldChar w:fldCharType="begin"/>
          </w:r>
          <w:r>
            <w:instrText xml:space="preserve"> PAGEREF _Toc20277 \h </w:instrText>
          </w:r>
          <w:r>
            <w:fldChar w:fldCharType="separate"/>
          </w:r>
          <w:r>
            <w:t>31</w:t>
          </w:r>
          <w:r>
            <w:fldChar w:fldCharType="end"/>
          </w:r>
          <w:r>
            <w:fldChar w:fldCharType="end"/>
          </w:r>
        </w:p>
        <w:p w14:paraId="297EA086">
          <w:pPr>
            <w:pStyle w:val="12"/>
            <w:tabs>
              <w:tab w:val="right" w:leader="dot" w:pos="9355"/>
            </w:tabs>
            <w:rPr>
              <w:rFonts w:eastAsia="宋体"/>
              <w:sz w:val="24"/>
            </w:rPr>
          </w:pPr>
          <w:r>
            <w:fldChar w:fldCharType="begin"/>
          </w:r>
          <w:r>
            <w:instrText xml:space="preserve"> HYPERLINK \l "_Toc18350" </w:instrText>
          </w:r>
          <w:r>
            <w:fldChar w:fldCharType="separate"/>
          </w:r>
          <w:r>
            <w:rPr>
              <w:rFonts w:hint="eastAsia" w:eastAsia="宋体"/>
              <w:sz w:val="24"/>
            </w:rPr>
            <w:t>8团队成员贡献</w:t>
          </w:r>
          <w:r>
            <w:rPr>
              <w:rFonts w:eastAsia="宋体"/>
              <w:sz w:val="24"/>
            </w:rPr>
            <w:tab/>
          </w:r>
          <w:r>
            <w:rPr>
              <w:rFonts w:eastAsia="宋体"/>
              <w:sz w:val="24"/>
            </w:rPr>
            <w:fldChar w:fldCharType="begin"/>
          </w:r>
          <w:r>
            <w:rPr>
              <w:rFonts w:eastAsia="宋体"/>
              <w:sz w:val="24"/>
            </w:rPr>
            <w:instrText xml:space="preserve"> PAGEREF _Toc18350 \h </w:instrText>
          </w:r>
          <w:r>
            <w:rPr>
              <w:rFonts w:eastAsia="宋体"/>
              <w:sz w:val="24"/>
            </w:rPr>
            <w:fldChar w:fldCharType="separate"/>
          </w:r>
          <w:r>
            <w:rPr>
              <w:rFonts w:eastAsia="宋体"/>
              <w:sz w:val="24"/>
            </w:rPr>
            <w:t>32</w:t>
          </w:r>
          <w:r>
            <w:rPr>
              <w:rFonts w:eastAsia="宋体"/>
              <w:sz w:val="24"/>
            </w:rPr>
            <w:fldChar w:fldCharType="end"/>
          </w:r>
          <w:r>
            <w:rPr>
              <w:rFonts w:eastAsia="宋体"/>
              <w:sz w:val="24"/>
            </w:rPr>
            <w:fldChar w:fldCharType="end"/>
          </w:r>
        </w:p>
        <w:p w14:paraId="79E10440">
          <w:pPr>
            <w:pStyle w:val="12"/>
            <w:tabs>
              <w:tab w:val="right" w:leader="dot" w:pos="9355"/>
            </w:tabs>
            <w:rPr>
              <w:rFonts w:eastAsia="宋体"/>
              <w:sz w:val="24"/>
            </w:rPr>
          </w:pPr>
          <w:r>
            <w:fldChar w:fldCharType="begin"/>
          </w:r>
          <w:r>
            <w:instrText xml:space="preserve"> HYPERLINK \l "_Toc20470" </w:instrText>
          </w:r>
          <w:r>
            <w:fldChar w:fldCharType="separate"/>
          </w:r>
          <w:r>
            <w:rPr>
              <w:rFonts w:hint="eastAsia" w:eastAsia="宋体"/>
              <w:sz w:val="24"/>
            </w:rPr>
            <w:t>9参考文献</w:t>
          </w:r>
          <w:r>
            <w:rPr>
              <w:rFonts w:eastAsia="宋体"/>
              <w:sz w:val="24"/>
            </w:rPr>
            <w:tab/>
          </w:r>
          <w:r>
            <w:rPr>
              <w:rFonts w:eastAsia="宋体"/>
              <w:sz w:val="24"/>
            </w:rPr>
            <w:fldChar w:fldCharType="begin"/>
          </w:r>
          <w:r>
            <w:rPr>
              <w:rFonts w:eastAsia="宋体"/>
              <w:sz w:val="24"/>
            </w:rPr>
            <w:instrText xml:space="preserve"> PAGEREF _Toc20470 \h </w:instrText>
          </w:r>
          <w:r>
            <w:rPr>
              <w:rFonts w:eastAsia="宋体"/>
              <w:sz w:val="24"/>
            </w:rPr>
            <w:fldChar w:fldCharType="separate"/>
          </w:r>
          <w:r>
            <w:rPr>
              <w:rFonts w:eastAsia="宋体"/>
              <w:sz w:val="24"/>
            </w:rPr>
            <w:t>33</w:t>
          </w:r>
          <w:r>
            <w:rPr>
              <w:rFonts w:eastAsia="宋体"/>
              <w:sz w:val="24"/>
            </w:rPr>
            <w:fldChar w:fldCharType="end"/>
          </w:r>
          <w:r>
            <w:rPr>
              <w:rFonts w:eastAsia="宋体"/>
              <w:sz w:val="24"/>
            </w:rPr>
            <w:fldChar w:fldCharType="end"/>
          </w:r>
        </w:p>
        <w:p w14:paraId="486D07B5">
          <w:pPr>
            <w:pStyle w:val="12"/>
            <w:tabs>
              <w:tab w:val="right" w:leader="dot" w:pos="9355"/>
            </w:tabs>
            <w:rPr>
              <w:rFonts w:eastAsia="宋体"/>
              <w:sz w:val="24"/>
            </w:rPr>
          </w:pPr>
          <w:r>
            <w:fldChar w:fldCharType="begin"/>
          </w:r>
          <w:r>
            <w:instrText xml:space="preserve"> HYPERLINK \l "_Toc11446" </w:instrText>
          </w:r>
          <w:r>
            <w:fldChar w:fldCharType="separate"/>
          </w:r>
          <w:r>
            <w:rPr>
              <w:rFonts w:hint="eastAsia" w:eastAsia="宋体"/>
              <w:sz w:val="24"/>
            </w:rPr>
            <w:t>附录</w:t>
          </w:r>
          <w:r>
            <w:rPr>
              <w:rFonts w:eastAsia="宋体"/>
              <w:sz w:val="24"/>
            </w:rPr>
            <w:tab/>
          </w:r>
          <w:r>
            <w:rPr>
              <w:rFonts w:eastAsia="宋体"/>
              <w:sz w:val="24"/>
            </w:rPr>
            <w:fldChar w:fldCharType="begin"/>
          </w:r>
          <w:r>
            <w:rPr>
              <w:rFonts w:eastAsia="宋体"/>
              <w:sz w:val="24"/>
            </w:rPr>
            <w:instrText xml:space="preserve"> PAGEREF _Toc11446 \h </w:instrText>
          </w:r>
          <w:r>
            <w:rPr>
              <w:rFonts w:eastAsia="宋体"/>
              <w:sz w:val="24"/>
            </w:rPr>
            <w:fldChar w:fldCharType="separate"/>
          </w:r>
          <w:r>
            <w:rPr>
              <w:rFonts w:eastAsia="宋体"/>
              <w:sz w:val="24"/>
            </w:rPr>
            <w:t>34</w:t>
          </w:r>
          <w:r>
            <w:rPr>
              <w:rFonts w:eastAsia="宋体"/>
              <w:sz w:val="24"/>
            </w:rPr>
            <w:fldChar w:fldCharType="end"/>
          </w:r>
          <w:r>
            <w:rPr>
              <w:rFonts w:eastAsia="宋体"/>
              <w:sz w:val="24"/>
            </w:rPr>
            <w:fldChar w:fldCharType="end"/>
          </w:r>
        </w:p>
        <w:p w14:paraId="19CD795B">
          <w:pPr>
            <w:pStyle w:val="8"/>
            <w:tabs>
              <w:tab w:val="right" w:leader="dot" w:pos="9355"/>
            </w:tabs>
            <w:ind w:left="960"/>
          </w:pPr>
          <w:r>
            <w:fldChar w:fldCharType="begin"/>
          </w:r>
          <w:r>
            <w:instrText xml:space="preserve"> HYPERLINK \l "_Toc5535" </w:instrText>
          </w:r>
          <w:r>
            <w:fldChar w:fldCharType="separate"/>
          </w:r>
          <w:r>
            <w:rPr>
              <w:rFonts w:hint="eastAsia" w:cs="宋体"/>
            </w:rPr>
            <w:t>附录A材料数据来源</w:t>
          </w:r>
          <w:r>
            <w:tab/>
          </w:r>
          <w:r>
            <w:fldChar w:fldCharType="begin"/>
          </w:r>
          <w:r>
            <w:instrText xml:space="preserve"> PAGEREF _Toc5535 \h </w:instrText>
          </w:r>
          <w:r>
            <w:fldChar w:fldCharType="separate"/>
          </w:r>
          <w:r>
            <w:t>34</w:t>
          </w:r>
          <w:r>
            <w:fldChar w:fldCharType="end"/>
          </w:r>
          <w:r>
            <w:fldChar w:fldCharType="end"/>
          </w:r>
        </w:p>
        <w:p w14:paraId="7AB56049">
          <w:pPr>
            <w:pStyle w:val="8"/>
            <w:tabs>
              <w:tab w:val="right" w:leader="dot" w:pos="9355"/>
            </w:tabs>
            <w:ind w:left="960"/>
          </w:pPr>
          <w:r>
            <w:fldChar w:fldCharType="begin"/>
          </w:r>
          <w:r>
            <w:instrText xml:space="preserve"> HYPERLINK \l "_Toc32148" </w:instrText>
          </w:r>
          <w:r>
            <w:fldChar w:fldCharType="separate"/>
          </w:r>
          <w:r>
            <w:rPr>
              <w:rFonts w:hint="eastAsia" w:cs="宋体"/>
            </w:rPr>
            <w:t>附录B AI使用声明</w:t>
          </w:r>
          <w:r>
            <w:tab/>
          </w:r>
          <w:r>
            <w:fldChar w:fldCharType="begin"/>
          </w:r>
          <w:r>
            <w:instrText xml:space="preserve"> PAGEREF _Toc32148 \h </w:instrText>
          </w:r>
          <w:r>
            <w:fldChar w:fldCharType="separate"/>
          </w:r>
          <w:r>
            <w:t>34</w:t>
          </w:r>
          <w:r>
            <w:fldChar w:fldCharType="end"/>
          </w:r>
          <w:r>
            <w:fldChar w:fldCharType="end"/>
          </w:r>
        </w:p>
        <w:p w14:paraId="1B3BD49F">
          <w:pPr>
            <w:pStyle w:val="8"/>
            <w:tabs>
              <w:tab w:val="right" w:leader="dot" w:pos="9355"/>
            </w:tabs>
            <w:ind w:left="960"/>
          </w:pPr>
        </w:p>
        <w:p w14:paraId="6158943A">
          <w:pPr>
            <w:pStyle w:val="9"/>
            <w:ind w:left="0" w:leftChars="0"/>
            <w:sectPr>
              <w:footerReference r:id="rId6" w:type="default"/>
              <w:pgSz w:w="11906" w:h="16838"/>
              <w:pgMar w:top="1417" w:right="1134" w:bottom="1417" w:left="1417" w:header="851" w:footer="992" w:gutter="0"/>
              <w:pgNumType w:fmt="upperRoman"/>
              <w:cols w:space="425" w:num="1"/>
              <w:docGrid w:type="lines" w:linePitch="312" w:charSpace="0"/>
            </w:sectPr>
          </w:pPr>
          <w:r>
            <w:fldChar w:fldCharType="end"/>
          </w:r>
        </w:p>
      </w:sdtContent>
    </w:sdt>
    <w:p w14:paraId="1E3B6551">
      <w:pPr>
        <w:pStyle w:val="2"/>
        <w:spacing w:before="312" w:after="312"/>
        <w:rPr>
          <w:rStyle w:val="22"/>
          <w:rFonts w:hint="eastAsia" w:ascii="黑体" w:hAnsi="黑体" w:cs="黑体"/>
          <w:b/>
          <w:sz w:val="44"/>
          <w:szCs w:val="44"/>
        </w:rPr>
      </w:pPr>
      <w:bookmarkStart w:id="6" w:name="_Toc19461"/>
      <w:bookmarkStart w:id="7" w:name="_Toc15787"/>
      <w:bookmarkStart w:id="8" w:name="_Toc18780"/>
      <w:r>
        <w:rPr>
          <w:rStyle w:val="22"/>
          <w:rFonts w:hint="eastAsia" w:ascii="黑体" w:hAnsi="黑体" w:cs="黑体"/>
          <w:b/>
          <w:color w:val="000000"/>
          <w:sz w:val="44"/>
          <w:szCs w:val="44"/>
        </w:rPr>
        <w:t>1</w:t>
      </w:r>
      <w:bookmarkEnd w:id="6"/>
      <w:bookmarkEnd w:id="7"/>
      <w:r>
        <w:rPr>
          <w:rStyle w:val="22"/>
          <w:rFonts w:hint="eastAsia" w:ascii="黑体" w:hAnsi="黑体" w:cs="黑体"/>
          <w:b/>
          <w:color w:val="000000"/>
          <w:sz w:val="44"/>
          <w:szCs w:val="44"/>
        </w:rPr>
        <w:t>引言</w:t>
      </w:r>
      <w:bookmarkEnd w:id="8"/>
    </w:p>
    <w:p w14:paraId="67AA8BA5">
      <w:pPr>
        <w:pStyle w:val="3"/>
        <w:spacing w:before="249" w:after="249"/>
      </w:pPr>
      <w:bookmarkStart w:id="9" w:name="_Toc1633"/>
      <w:bookmarkStart w:id="10" w:name="_Toc13712"/>
      <w:r>
        <w:rPr>
          <w:rFonts w:hint="eastAsia"/>
        </w:rPr>
        <w:t>1.1</w:t>
      </w:r>
      <w:bookmarkEnd w:id="9"/>
      <w:r>
        <w:rPr>
          <w:rFonts w:hint="eastAsia"/>
        </w:rPr>
        <w:t>选题意义</w:t>
      </w:r>
      <w:bookmarkEnd w:id="10"/>
    </w:p>
    <w:p w14:paraId="14BC3420">
      <w:pPr>
        <w:ind w:firstLine="480" w:firstLineChars="200"/>
      </w:pPr>
      <w:bookmarkStart w:id="11" w:name="_Toc26796"/>
      <w:r>
        <w:t>2025年中共中央、国务院印发的《教育强国建设规划纲要》明确提出“加快建设高质量教育体系”</w:t>
      </w:r>
      <w:r>
        <w:rPr>
          <w:rFonts w:hint="eastAsia"/>
        </w:rPr>
        <w:t>，如图1-1所示</w:t>
      </w:r>
      <w:r>
        <w:t>。同年，五部门联合推进“虚拟仿真实验教学2.0”，重点解决实验教学中高成本、难实施、难再现的痛点</w:t>
      </w:r>
      <w:r>
        <w:rPr>
          <w:rFonts w:hint="eastAsia"/>
        </w:rPr>
        <w:t>，如图1-2所示</w:t>
      </w:r>
      <w:r>
        <w:t>。虚拟仿真实验教学的价值，不只是把真实实验搬到屏幕上，更重要的是利用数字化、可视化和可重复的方式，让学生能够观察实验过程、理解物理机理并反复探索不同方案。</w:t>
      </w:r>
    </w:p>
    <w:p w14:paraId="13287AC8">
      <w:pPr>
        <w:pStyle w:val="9"/>
        <w:ind w:left="480"/>
      </w:pPr>
      <w:r>
        <w:drawing>
          <wp:inline distT="0" distB="0" distL="0" distR="0">
            <wp:extent cx="5940425" cy="3389630"/>
            <wp:effectExtent l="0" t="0" r="3175" b="1270"/>
            <wp:docPr id="27131493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14937" name="图片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0425" cy="3389630"/>
                    </a:xfrm>
                    <a:prstGeom prst="rect">
                      <a:avLst/>
                    </a:prstGeom>
                    <a:noFill/>
                    <a:ln>
                      <a:noFill/>
                    </a:ln>
                  </pic:spPr>
                </pic:pic>
              </a:graphicData>
            </a:graphic>
          </wp:inline>
        </w:drawing>
      </w:r>
    </w:p>
    <w:p w14:paraId="12FB0541">
      <w:pPr>
        <w:pStyle w:val="9"/>
        <w:ind w:left="480"/>
        <w:jc w:val="center"/>
        <w:rPr>
          <w:rFonts w:hint="eastAsia" w:ascii="宋体" w:hAnsi="宋体" w:cs="宋体"/>
          <w:sz w:val="21"/>
          <w:szCs w:val="21"/>
        </w:rPr>
      </w:pPr>
      <w:r>
        <w:rPr>
          <w:rFonts w:hint="eastAsia" w:ascii="宋体" w:hAnsi="宋体" w:cs="宋体"/>
          <w:sz w:val="21"/>
          <w:szCs w:val="21"/>
        </w:rPr>
        <w:t>图</w:t>
      </w:r>
      <w:r>
        <w:rPr>
          <w:rFonts w:cs="Times New Roman"/>
          <w:sz w:val="21"/>
          <w:szCs w:val="21"/>
        </w:rPr>
        <w:t>1-1</w:t>
      </w:r>
      <w:r>
        <w:rPr>
          <w:rFonts w:hint="eastAsia" w:ascii="宋体" w:hAnsi="宋体" w:cs="宋体"/>
          <w:sz w:val="21"/>
          <w:szCs w:val="21"/>
        </w:rPr>
        <w:t>教育强国建设规划纲要</w:t>
      </w:r>
    </w:p>
    <w:p w14:paraId="430543BD">
      <w:pPr>
        <w:pStyle w:val="9"/>
        <w:ind w:left="480"/>
      </w:pPr>
      <w:r>
        <w:drawing>
          <wp:inline distT="0" distB="0" distL="0" distR="0">
            <wp:extent cx="5940425" cy="3236595"/>
            <wp:effectExtent l="0" t="0" r="3175" b="1905"/>
            <wp:docPr id="190944786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47865" name="图片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0425" cy="3236595"/>
                    </a:xfrm>
                    <a:prstGeom prst="rect">
                      <a:avLst/>
                    </a:prstGeom>
                    <a:noFill/>
                    <a:ln>
                      <a:noFill/>
                    </a:ln>
                  </pic:spPr>
                </pic:pic>
              </a:graphicData>
            </a:graphic>
          </wp:inline>
        </w:drawing>
      </w:r>
    </w:p>
    <w:p w14:paraId="3C047B2F">
      <w:pPr>
        <w:pStyle w:val="9"/>
        <w:ind w:left="480"/>
        <w:jc w:val="center"/>
        <w:rPr>
          <w:rFonts w:hint="eastAsia" w:ascii="宋体" w:hAnsi="宋体" w:cs="宋体"/>
          <w:sz w:val="21"/>
          <w:szCs w:val="21"/>
        </w:rPr>
      </w:pPr>
      <w:r>
        <w:rPr>
          <w:rFonts w:hint="eastAsia" w:ascii="宋体" w:hAnsi="宋体" w:cs="宋体"/>
          <w:sz w:val="21"/>
          <w:szCs w:val="21"/>
        </w:rPr>
        <w:t>图</w:t>
      </w:r>
      <w:r>
        <w:rPr>
          <w:rFonts w:cs="Times New Roman"/>
          <w:sz w:val="21"/>
          <w:szCs w:val="21"/>
        </w:rPr>
        <w:t>1-2</w:t>
      </w:r>
      <w:r>
        <w:rPr>
          <w:rFonts w:hint="eastAsia" w:ascii="宋体" w:hAnsi="宋体" w:cs="宋体"/>
          <w:sz w:val="21"/>
          <w:szCs w:val="21"/>
        </w:rPr>
        <w:t>虚拟仿真实验教学2.0</w:t>
      </w:r>
    </w:p>
    <w:p w14:paraId="12F68588">
      <w:pPr>
        <w:ind w:firstLine="480" w:firstLineChars="200"/>
      </w:pPr>
      <w:r>
        <w:t>复杂光学实验正是上述问题的典型场景。激光耦合过程涉及精密的光路对准、透镜组传播和光纤模式匹配，微小的位移或倾角变化都可能引起明显的结果变化。传统教学中，光路搭建和调节往往依赖实验经验，器材数量和实验课时又限制了学生对多组参数的系统探索。具体到本项目，激光耦合仿真就是虚拟仿真实验教学中一个具有代表性的研究对象。</w:t>
      </w:r>
    </w:p>
    <w:p w14:paraId="166D6283">
      <w:pPr>
        <w:ind w:firstLine="480" w:firstLineChars="200"/>
      </w:pPr>
      <w:r>
        <w:t>为了进一步了解学生在此类实验中的实际困难，本项目开展了相关调研。调研和教学实践反映出，做过光学实验的学生普遍有类似体验：调光路在很大程度上依靠手感，调出的结果未必最优，过程费时费力。学生希望借助仿真辅助理解，但传统专业软件学习成本较高，本科生难以在有限课时内完成从建模、计算到分析的完整学习过程。</w:t>
      </w:r>
    </w:p>
    <w:p w14:paraId="7D690697">
      <w:pPr>
        <w:ind w:firstLine="480" w:firstLineChars="200"/>
      </w:pPr>
      <w:r>
        <w:t>更重要的是，现有仿真结果往往呈现为一个“黑箱”：学生能够看到耦合效率的数值，却不知道应该调节哪个参数，也不清楚参数变化为什么会引起效率变化。</w:t>
      </w:r>
      <w:r>
        <w:rPr>
          <w:rFonts w:hint="eastAsia"/>
        </w:rPr>
        <w:t>为解决这些痛点</w:t>
      </w:r>
      <w:r>
        <w:t>，本项目搭建</w:t>
      </w:r>
      <w:r>
        <w:rPr>
          <w:rFonts w:hint="eastAsia"/>
        </w:rPr>
        <w:t>了</w:t>
      </w:r>
      <w:r>
        <w:t>一个过程可视、操作简便、结果可解释的激光耦合仿真平台，使使用者能够观察光束传播过程、理解耦合效率变化原因，并在此基础上开展后续的参数规律研究。</w:t>
      </w:r>
    </w:p>
    <w:p w14:paraId="412EC83D">
      <w:pPr>
        <w:pStyle w:val="3"/>
        <w:spacing w:before="249" w:after="249"/>
      </w:pPr>
      <w:r>
        <w:rPr>
          <w:rFonts w:hint="eastAsia"/>
        </w:rPr>
        <w:t>1.2目标定位</w:t>
      </w:r>
      <w:bookmarkEnd w:id="11"/>
    </w:p>
    <w:p w14:paraId="3AC4AFE4">
      <w:pPr>
        <w:ind w:firstLine="480" w:firstLineChars="200"/>
      </w:pPr>
      <w:r>
        <w:t>本项目的总体目标是建立物理模型、数值仿真和智能分析之间的协同关系，形成一个过程可视、操作简便、结果可解释的激光耦合仿真研究平台。平台不是用机器学习替代光学计算，而是先由物理模型产生可信的光学状态和耦合结果，再利用机器学习从大量结果中提取规律、筛选参数并辅助解释。</w:t>
      </w:r>
    </w:p>
    <w:p w14:paraId="269C8E9A">
      <w:pPr>
        <w:ind w:firstLine="480" w:firstLineChars="200"/>
      </w:pPr>
      <w:r>
        <w:rPr>
          <w:rFonts w:ascii="宋体" w:hAnsi="宋体"/>
          <w:color w:val="000000"/>
        </w:rPr>
        <w:t>具体而言，平台首先采用 Gaussian 光束和 ABCD/q 矩阵快速描述光束经过透镜组后的传播状态；随后通过顺序几何光线追迹、公共出射面复场重建、数值衍射传播和模式重叠积分，获得光纤端面的入射复场及耦合效率。在此基础上，将透镜曲率半径和厚度作为重点研究变量，分析其变化如何影响输出光斑、波前曲率、焦面位置和模式匹配程度，建立结构参数与耦合效率之间的关系。</w:t>
      </w:r>
    </w:p>
    <w:p w14:paraId="5F177C71">
      <w:pPr>
        <w:ind w:firstLine="480" w:firstLineChars="200"/>
      </w:pPr>
      <w:r>
        <w:t>机器学习的作用是对大量正式仿真数据进行规律总结和参数重要性分析，筛选理论上较优的参数组合；SHAP 和光学公式则用于解释模型判断对应的物理原因。最终形成“物理建模—正式仿真—参数研究—代理分析—参数筛选—物理解释”的研究链路，为激光耦合系统的学术研究和参数设计提供依据。</w:t>
      </w:r>
    </w:p>
    <w:p w14:paraId="230DD45E">
      <w:pPr>
        <w:ind w:firstLine="480" w:firstLineChars="200"/>
      </w:pPr>
      <w:r>
        <w:rPr>
          <w:rFonts w:ascii="宋体" w:hAnsi="宋体"/>
          <w:color w:val="000000"/>
        </w:rPr>
        <w:t>平台以 780 nm 四透镜单模光纤耦合案例作为</w:t>
      </w:r>
      <w:r>
        <w:rPr>
          <w:rFonts w:hint="eastAsia" w:ascii="宋体" w:hAnsi="宋体"/>
          <w:color w:val="000000"/>
        </w:rPr>
        <w:t>示例</w:t>
      </w:r>
      <w:r>
        <w:rPr>
          <w:rFonts w:ascii="宋体" w:hAnsi="宋体"/>
          <w:color w:val="000000"/>
        </w:rPr>
        <w:t>任务，并保留多波长光源、多种透镜面型和不同目标模场的扩展接口。当前研究重点聚焦于曲率半径和厚度，其他参数作为系统背景变量或后续扩展方向。</w:t>
      </w:r>
    </w:p>
    <w:p w14:paraId="6498E167">
      <w:pPr>
        <w:ind w:firstLine="480" w:firstLineChars="200"/>
      </w:pPr>
      <w:r>
        <w:br w:type="page"/>
      </w:r>
    </w:p>
    <w:p w14:paraId="580C22A7">
      <w:pPr>
        <w:pStyle w:val="2"/>
        <w:spacing w:before="312" w:after="312"/>
      </w:pPr>
      <w:bookmarkStart w:id="12" w:name="_Toc21853"/>
      <w:r>
        <w:rPr>
          <w:rFonts w:hint="eastAsia"/>
        </w:rPr>
        <w:t>2物理模型与理论研究</w:t>
      </w:r>
      <w:bookmarkEnd w:id="12"/>
    </w:p>
    <w:p w14:paraId="649A52A2">
      <w:pPr>
        <w:pStyle w:val="3"/>
        <w:spacing w:before="249" w:after="249"/>
      </w:pPr>
      <w:bookmarkStart w:id="13" w:name="_Toc30129"/>
      <w:r>
        <w:rPr>
          <w:rFonts w:hint="eastAsia"/>
        </w:rPr>
        <w:t>2.1激光耦合光路研究</w:t>
      </w:r>
      <w:bookmarkEnd w:id="13"/>
    </w:p>
    <w:p w14:paraId="0F60F542">
      <w:pPr>
        <w:ind w:firstLine="480" w:firstLineChars="200"/>
      </w:pPr>
      <w:r>
        <w:t>本研究以自由空间激光耦合单模光纤为对象，典型系统由激光光源、准直或整形透镜组、聚焦透镜和接收端光纤组成。标杆案例采用 780 nm 激光，经四片透镜完成光束整形和聚焦，最终在光纤端面形成与目标基模尽可能匹配的复光场。</w:t>
      </w:r>
    </w:p>
    <w:p w14:paraId="15ADA7BE">
      <w:pPr>
        <w:ind w:firstLine="480" w:firstLineChars="200"/>
      </w:pPr>
      <w:r>
        <w:rPr>
          <w:rFonts w:ascii="宋体" w:hAnsi="宋体"/>
          <w:color w:val="000000"/>
        </w:rPr>
        <w:t>在建模时，光源参数包括波长、束腰半径、束腰位置、M² 因子和功率分布；透镜参数包括面型、曲率半径、中心厚度、材料折射率、有效孔径和元件间距；光纤参数包括模场直径、数值孔径、端面位置以及横向偏移和角度倾斜。上述参数被统一纳入工程快照，保证几何视图、物理计算和分析结果使用同一套数据。</w:t>
      </w:r>
    </w:p>
    <w:p w14:paraId="4208D16E">
      <w:pPr>
        <w:ind w:firstLine="480" w:firstLineChars="200"/>
      </w:pPr>
      <w:r>
        <w:rPr>
          <w:rFonts w:ascii="宋体" w:hAnsi="宋体"/>
          <w:color w:val="000000"/>
        </w:rPr>
        <w:t>光路研究的核心不是只判断光线能否到达光纤，而是追踪光束在传播过程中的尺寸、方向、光程和相位变化，并将这些变化最终归结为模场尺寸失配、位置失配、角度失配、离焦失配和曲率失配。</w:t>
      </w:r>
    </w:p>
    <w:p w14:paraId="675745A5">
      <w:pPr>
        <w:pStyle w:val="3"/>
        <w:spacing w:before="249" w:after="249"/>
      </w:pPr>
      <w:bookmarkStart w:id="14" w:name="_Toc14387"/>
      <w:r>
        <w:rPr>
          <w:rFonts w:hint="eastAsia"/>
        </w:rPr>
        <w:t>2.2 Gaussian光源</w:t>
      </w:r>
      <w:bookmarkEnd w:id="14"/>
    </w:p>
    <w:p w14:paraId="1A17BF3C">
      <w:pPr>
        <w:ind w:firstLine="480" w:firstLineChars="200"/>
      </w:pPr>
      <w:r>
        <w:t>在均匀介质中，单色标量电场满足亥姆霍兹方程 ∇²E+k²E=0。令光束主要沿 z 轴传播，并将电场表示为 E(x,y,z)=ψ(x,y,z)exp(ikz)，在包络变化相对缓慢的条件下可得到傍轴波动方程。Gaussian 光束是该方程的重要解析解，能够描述有限束腰、有限发散角和随传播变化的波前曲率。</w:t>
      </w:r>
    </w:p>
    <w:p w14:paraId="1C1010AE">
      <w:pPr>
        <w:ind w:firstLine="480" w:firstLineChars="200"/>
      </w:pPr>
      <w:r>
        <w:t>对于圆对称 Gaussian 光束，横截面复场可写为 E(r,z)=E0 w0/w(z) · exp[-r²/w²(z)] · exp{i[kz+kr²/(2R(z))−ζ(z)]}。其中 w(z) 为光斑半径，R(z) 为波前曲率半径，ζ(z) 为 Gouy 相位。光斑半径和曲率由束腰 w0、瑞利长度 zR=πw0²/λ 共同决定。</w:t>
      </w:r>
      <w:r>
        <w:rPr>
          <w:rFonts w:hint="eastAsia"/>
        </w:rPr>
        <w:t>如图2-1所示。</w:t>
      </w:r>
    </w:p>
    <w:p w14:paraId="2F5C994F">
      <w:pPr>
        <w:pStyle w:val="9"/>
        <w:ind w:left="480"/>
      </w:pPr>
      <w:r>
        <w:drawing>
          <wp:inline distT="0" distB="0" distL="0" distR="0">
            <wp:extent cx="5940425" cy="2227580"/>
            <wp:effectExtent l="0" t="0" r="3175" b="1270"/>
            <wp:docPr id="31145360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53609" name="图片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0425" cy="2227580"/>
                    </a:xfrm>
                    <a:prstGeom prst="rect">
                      <a:avLst/>
                    </a:prstGeom>
                    <a:noFill/>
                    <a:ln>
                      <a:noFill/>
                    </a:ln>
                  </pic:spPr>
                </pic:pic>
              </a:graphicData>
            </a:graphic>
          </wp:inline>
        </w:drawing>
      </w:r>
    </w:p>
    <w:p w14:paraId="0E724B16">
      <w:pPr>
        <w:pStyle w:val="9"/>
        <w:ind w:left="480"/>
        <w:jc w:val="center"/>
        <w:rPr>
          <w:rFonts w:hint="eastAsia" w:ascii="宋体" w:hAnsi="宋体" w:cs="宋体"/>
          <w:sz w:val="21"/>
          <w:szCs w:val="21"/>
        </w:rPr>
      </w:pPr>
      <w:r>
        <w:rPr>
          <w:rFonts w:hint="eastAsia" w:ascii="宋体" w:hAnsi="宋体" w:cs="宋体"/>
          <w:sz w:val="21"/>
          <w:szCs w:val="21"/>
        </w:rPr>
        <w:t>图</w:t>
      </w:r>
      <w:r>
        <w:rPr>
          <w:rFonts w:cs="Times New Roman"/>
          <w:sz w:val="21"/>
          <w:szCs w:val="21"/>
        </w:rPr>
        <w:t xml:space="preserve">2-1 </w:t>
      </w:r>
      <w:r>
        <w:rPr>
          <w:rFonts w:hint="eastAsia" w:ascii="宋体" w:hAnsi="宋体" w:cs="宋体"/>
          <w:sz w:val="21"/>
          <w:szCs w:val="21"/>
        </w:rPr>
        <w:t>Gaussian光源传播示意图</w:t>
      </w:r>
    </w:p>
    <w:p w14:paraId="51B7473C">
      <w:pPr>
        <w:ind w:firstLine="480" w:firstLineChars="200"/>
      </w:pPr>
      <w:r>
        <w:t>实际半导体激光器常具有椭圆光束和不同方向的 M² 因子，因此平台允许分别设置 X、Y 两个方向的束腰、束腰位置和质量因子，并将理想 Gaussian 描述作为初始光源模型，后续通过复场传播和光线追迹补充有限孔径、折射和衍射等影响。</w:t>
      </w:r>
    </w:p>
    <w:p w14:paraId="7F34A422">
      <w:pPr>
        <w:pStyle w:val="3"/>
        <w:spacing w:before="249" w:after="249"/>
      </w:pPr>
      <w:bookmarkStart w:id="15" w:name="_Toc16929"/>
      <w:r>
        <w:rPr>
          <w:rFonts w:hint="eastAsia"/>
        </w:rPr>
        <w:t>2.3近轴光束理论</w:t>
      </w:r>
      <w:bookmarkEnd w:id="15"/>
    </w:p>
    <w:p w14:paraId="2189964D">
      <w:pPr>
        <w:ind w:firstLine="480" w:firstLineChars="200"/>
      </w:pPr>
      <w:r>
        <w:t>近轴理论用光线高度 y 和相对于光轴的倾角 θ 描述一阶光学状态，</w:t>
      </w:r>
      <w:r>
        <w:rPr>
          <w:rFonts w:hint="eastAsia"/>
        </w:rPr>
        <w:t>如图n所示。</w:t>
      </w:r>
      <w:r>
        <w:t>写成列向量 r=[y,θ]ᵀ。任意一阶光学系统都可通过 2×2 矩阵把输入状态映射为输出状态：r₂=M r₁，其中 M=[[A,B],[C,D]]。A、B、C、D 分别表示输入高度和输入角度对输出光线状态的线性影响。</w:t>
      </w:r>
    </w:p>
    <w:p w14:paraId="3657DBD1">
      <w:pPr>
        <w:ind w:firstLine="480" w:firstLineChars="200"/>
      </w:pPr>
      <w:r>
        <w:t>自由传播距离 d 的矩阵为 Mprop=[[1,d],[0,1]]；薄透镜焦距为 f 时的矩阵为 Mlens=[[1,0],[-1/f,1]]。对于多个光学元件，按光传播顺序将各段传播矩阵和元件矩阵相乘，即可快速得到系统的一阶传输关系。</w:t>
      </w:r>
    </w:p>
    <w:p w14:paraId="6398C494">
      <w:pPr>
        <w:ind w:firstLine="480" w:firstLineChars="200"/>
      </w:pPr>
      <w:r>
        <w:t>ABCD 方法适合实时预览和参数初筛，可迅速给出束腰位置、输出光斑和发散趋势。但它基于近轴和理想元件假设，不能独立表示复杂面型、孔径截光和完整相位分布，因此正式结果还需要由顺序光线追迹和波动传播进一步计算。</w:t>
      </w:r>
    </w:p>
    <w:p w14:paraId="76BA51EE">
      <w:pPr>
        <w:pStyle w:val="9"/>
        <w:ind w:left="480"/>
      </w:pPr>
      <w:r>
        <w:drawing>
          <wp:inline distT="0" distB="0" distL="0" distR="0">
            <wp:extent cx="5940425" cy="2105025"/>
            <wp:effectExtent l="0" t="0" r="3175" b="9525"/>
            <wp:docPr id="4516276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27626" name="图片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0425" cy="2105025"/>
                    </a:xfrm>
                    <a:prstGeom prst="rect">
                      <a:avLst/>
                    </a:prstGeom>
                    <a:noFill/>
                    <a:ln>
                      <a:noFill/>
                    </a:ln>
                  </pic:spPr>
                </pic:pic>
              </a:graphicData>
            </a:graphic>
          </wp:inline>
        </w:drawing>
      </w:r>
    </w:p>
    <w:p w14:paraId="64E61470">
      <w:pPr>
        <w:pStyle w:val="9"/>
        <w:ind w:left="480"/>
        <w:jc w:val="center"/>
        <w:rPr>
          <w:rFonts w:hint="eastAsia" w:ascii="宋体" w:hAnsi="宋体" w:cs="宋体"/>
          <w:sz w:val="21"/>
          <w:szCs w:val="21"/>
        </w:rPr>
      </w:pPr>
      <w:r>
        <w:rPr>
          <w:rFonts w:hint="eastAsia" w:ascii="宋体" w:hAnsi="宋体" w:cs="宋体"/>
          <w:sz w:val="21"/>
          <w:szCs w:val="21"/>
        </w:rPr>
        <w:t>图</w:t>
      </w:r>
      <w:r>
        <w:rPr>
          <w:rFonts w:cs="Times New Roman"/>
          <w:sz w:val="21"/>
          <w:szCs w:val="21"/>
        </w:rPr>
        <w:t>2-2</w:t>
      </w:r>
      <w:r>
        <w:rPr>
          <w:rFonts w:hint="eastAsia" w:ascii="宋体" w:hAnsi="宋体" w:cs="宋体"/>
          <w:sz w:val="21"/>
          <w:szCs w:val="21"/>
        </w:rPr>
        <w:t>近轴理论示意图</w:t>
      </w:r>
    </w:p>
    <w:p w14:paraId="69AB0BFD">
      <w:pPr>
        <w:pStyle w:val="3"/>
        <w:spacing w:before="249" w:after="249"/>
      </w:pPr>
      <w:bookmarkStart w:id="16" w:name="_Toc15399"/>
      <w:r>
        <w:rPr>
          <w:rFonts w:hint="eastAsia"/>
        </w:rPr>
        <w:t>2.4 ABCD矩阵与近轴光束传输</w:t>
      </w:r>
      <w:bookmarkEnd w:id="16"/>
    </w:p>
    <w:p w14:paraId="61F7DA0D">
      <w:pPr>
        <w:ind w:firstLine="480" w:firstLineChars="200"/>
      </w:pPr>
      <w:r>
        <w:t>Gaussian 光束可以用复光束参数 q 表示，通常写为 1/q=1/R−iλ/(πw²)。在 ABCD 系统中，q 参数按照 q₂=(Aq₁+B)/(Cq₁+D) 变换。由 q 参数的实部和虚部可以恢复波前曲率 R 与光斑半径 w，因此矩阵传播不仅能追踪离散光线，也能快速估计连续光束状态。</w:t>
      </w:r>
    </w:p>
    <w:p w14:paraId="7C750933">
      <w:pPr>
        <w:ind w:firstLine="480" w:firstLineChars="200"/>
      </w:pPr>
      <w:r>
        <w:t>在四透镜系统中，总矩阵由自由传播段、透镜面和介质界面矩阵按顺序级联。透镜曲率半径、中心厚度和空气间隔改变后，矩阵中的等效光焦度和传播距离同时改变，从而影响输出 q 参数。由此可以解释为什么厚度和镜间距并非简单的“位移参数”，而会通过焦面和曲率共同影响耦合效率。</w:t>
      </w:r>
    </w:p>
    <w:p w14:paraId="30EED99F">
      <w:pPr>
        <w:ind w:firstLine="480" w:firstLineChars="200"/>
      </w:pPr>
      <w:r>
        <w:t>平台将 ABCD/q 结果作为正式仿真的物理基线：一方面用于实时显示和参数合理性检查，另一方面将光斑半径、束腰位置、曲率半径和失配比例提取为机器学习的物理特征。代理模型学习的是高精度结果相对于解析基线的差异，而不是从零学习全部光学规律。</w:t>
      </w:r>
    </w:p>
    <w:p w14:paraId="561F7869">
      <w:pPr>
        <w:ind w:firstLine="480" w:firstLineChars="200"/>
      </w:pPr>
      <w:r>
        <w:t>对于柱面镜或 X/Y 方向不对称光束，平台可将两个正交方向分别建立 ABCD 链路，用 fx、fy 或对应曲率参数描述不同方向的聚焦能力，从而兼容椭圆光束和柱面光学元件的扩展研究。</w:t>
      </w:r>
    </w:p>
    <w:p w14:paraId="105B3135">
      <w:pPr>
        <w:pStyle w:val="3"/>
        <w:spacing w:before="249" w:after="249"/>
      </w:pPr>
      <w:bookmarkStart w:id="17" w:name="_Toc8725"/>
      <w:r>
        <w:rPr>
          <w:rFonts w:hint="eastAsia"/>
        </w:rPr>
        <w:t>2.5出瞳面复场重建</w:t>
      </w:r>
      <w:bookmarkEnd w:id="17"/>
    </w:p>
    <w:p w14:paraId="157B88A9">
      <w:pPr>
        <w:ind w:firstLine="480" w:firstLineChars="200"/>
      </w:pPr>
      <w:r>
        <w:t>几何光线追迹只能得到有限数量的离散光线，无法直接作为模式重叠积分所需的连续复场。为实现几何光学到波动光学的衔接，平台在光路末端设置统一的公共出射面，将所有有效光线投影到同一平面，并记录其位置、方向、光程、振幅权重和偏振状态。</w:t>
      </w:r>
    </w:p>
    <w:p w14:paraId="3F367D08">
      <w:pPr>
        <w:ind w:firstLine="480" w:firstLineChars="200"/>
      </w:pPr>
      <w:r>
        <w:rPr>
          <w:rFonts w:ascii="宋体" w:hAnsi="宋体"/>
          <w:color w:val="000000"/>
        </w:rPr>
        <w:t>光程差决定相位分布。设第 i 条光线的光程为 Lᵢ，波数为 k，则相对相位可写为 φᵢ=k(Lᵢ−Lref)。振幅权重由入射 Gaussian 功率分布、介面透射系数、孔径截取和局部方向因子共同决定。这样构造的离散复场同时包含强度信息和相位信息。</w:t>
      </w:r>
    </w:p>
    <w:p w14:paraId="28677A3E">
      <w:pPr>
        <w:ind w:firstLine="480" w:firstLineChars="200"/>
      </w:pPr>
      <w:r>
        <w:t>随后将离散光线按照规则 Cartesian 网格进行沉积或插值，得到 Eₚ(x,y)=Aₚ(x,y)exp[iφₚ(x,y)]。程序同时记录有效光线比、边缘功率比和能量闭合误差，用于判断光瞳采样和网格参数是否足以支撑后续传播。</w:t>
      </w:r>
    </w:p>
    <w:p w14:paraId="24C96A4D">
      <w:pPr>
        <w:ind w:firstLine="480" w:firstLineChars="200"/>
      </w:pPr>
      <w:r>
        <w:t>公共出射面是平台算法链中的关键接口：前端显示的几何光路来自光线追迹，后端的复场传播和模式重叠来自该平面的复场。两者共享同一工程快照，避免出现“图形位置正确但计算数据不一致”的问题。</w:t>
      </w:r>
    </w:p>
    <w:p w14:paraId="5DFFD447">
      <w:pPr>
        <w:pStyle w:val="3"/>
        <w:spacing w:before="249" w:after="249"/>
      </w:pPr>
      <w:bookmarkStart w:id="18" w:name="_Toc25083"/>
      <w:r>
        <w:rPr>
          <w:rFonts w:hint="eastAsia"/>
        </w:rPr>
        <w:t>2.6耦合效率计算</w:t>
      </w:r>
      <w:bookmarkEnd w:id="18"/>
    </w:p>
    <w:p w14:paraId="3A7F8C7F">
      <w:pPr>
        <w:spacing w:line="348" w:lineRule="auto"/>
        <w:ind w:firstLine="480" w:firstLineChars="200"/>
      </w:pPr>
      <w:r>
        <w:t>设光纤端面的入射复场为 Eₛ(x,y)，光纤目标模式为 E_f(x,y)，则标量模式耦合效率由归一化复场重叠积分给出：ηmode=|∫∫EₛE_f* dA|²/[∫∫|Eₛ|²dA · ∫∫|E_f|²dA]。该表达式同时比较振幅和相位，因而能够识别“光斑强度相似但波前不匹配”的情况。</w:t>
      </w:r>
    </w:p>
    <w:p w14:paraId="4A3DC2C5">
      <w:pPr>
        <w:spacing w:line="348" w:lineRule="auto"/>
        <w:ind w:firstLine="480" w:firstLineChars="200"/>
      </w:pPr>
      <w:r>
        <w:t>模式耦合效率用于描述端面复场与目标模式之间的匹配程度；系统总效率还需计入透镜组透过率、光纤端面反射、传播损耗和有效通光比例，可表示为 ηtotal=ηtransmission·ηmode·ηfacet·ηpropagation。报告中将二者分开显示，以避免把器件损耗误判为模场失配损耗。</w:t>
      </w:r>
    </w:p>
    <w:p w14:paraId="3E65E937">
      <w:pPr>
        <w:spacing w:line="348" w:lineRule="auto"/>
        <w:ind w:firstLine="480" w:firstLineChars="200"/>
      </w:pPr>
      <w:r>
        <w:t>离散计算时，在相同二维网格上进行复数乘积、共轭和求和，并乘以网格面积 ΔxΔy。程序对入射场和目标模式分别归一化，检查网格尺寸、窗口范围和边缘功率，确保效率结果不因截断或欠采样产生明显偏差。</w:t>
      </w:r>
    </w:p>
    <w:p w14:paraId="66B0C12A">
      <w:pPr>
        <w:spacing w:line="348" w:lineRule="auto"/>
        <w:ind w:firstLine="480" w:firstLineChars="200"/>
      </w:pPr>
      <w:r>
        <w:t>对于需要考虑偏振和纵向电场分量的情形，将标量场扩展为矢量电场，使用矢量内积进行重叠计算。当前以标量和工程矢量模式为主要研究路径，同时保留有限差分本征模接口。</w:t>
      </w:r>
    </w:p>
    <w:p w14:paraId="25EF4E76">
      <w:pPr>
        <w:pStyle w:val="3"/>
        <w:spacing w:before="249" w:after="249"/>
      </w:pPr>
      <w:bookmarkStart w:id="19" w:name="_Toc17447"/>
      <w:r>
        <w:rPr>
          <w:rFonts w:hint="eastAsia"/>
        </w:rPr>
        <w:t>2.7仿真算法</w:t>
      </w:r>
      <w:bookmarkEnd w:id="19"/>
    </w:p>
    <w:p w14:paraId="68A1D56A">
      <w:pPr>
        <w:pStyle w:val="4"/>
        <w:spacing w:before="156" w:after="156"/>
      </w:pPr>
      <w:bookmarkStart w:id="20" w:name="_Toc4925"/>
      <w:r>
        <w:rPr>
          <w:rFonts w:hint="eastAsia"/>
        </w:rPr>
        <w:t>2.7.1入射光数值衍射传播</w:t>
      </w:r>
      <w:bookmarkEnd w:id="20"/>
    </w:p>
    <w:p w14:paraId="23852777">
      <w:pPr>
        <w:ind w:firstLine="480" w:firstLineChars="200"/>
      </w:pPr>
      <w:r>
        <w:t>入射光在公共出射面构造复场后，需要传播到光纤端面。角谱法将复场分解到空间频率域，在频域乘以传播传递函数 H(fx,fy)=exp[i k z √(1−(λfx)²−(λfy)²)]，再通过逆 Fourier 变换得到传播后的复场。该方法能够保留相位信息，适合一般自由空间传播。</w:t>
      </w:r>
    </w:p>
    <w:p w14:paraId="4647BF8B">
      <w:pPr>
        <w:ind w:firstLine="480" w:firstLineChars="200"/>
      </w:pPr>
      <w:r>
        <w:t>对于频谱采样可能混叠的情况，平台采用带限角谱法限制有效空间频率；对于近轴、小角度和低 NA 情况，则可采用 Fresnel 传播进行快速估算。不同传播方法的适用范围、限制和平台定位见表 2-1。</w:t>
      </w:r>
    </w:p>
    <w:p w14:paraId="498C23FE">
      <w:pPr>
        <w:ind w:firstLine="480" w:firstLineChars="200"/>
      </w:pPr>
      <w:r>
        <w:t>传播过程同时进行采样诊断，包括边缘功率比、能量闭合误差和网格收敛检查。只有当传播窗口能够覆盖主要能量、采样间隔满足空间频率要求且相邻网格结果趋于稳定时，才将其作为正式定量结果。</w:t>
      </w:r>
    </w:p>
    <w:p w14:paraId="204DA1B7">
      <w:pPr>
        <w:ind w:firstLine="420" w:firstLineChars="200"/>
        <w:jc w:val="center"/>
        <w:rPr>
          <w:rFonts w:hint="eastAsia" w:ascii="宋体" w:hAnsi="宋体" w:cs="宋体"/>
          <w:sz w:val="21"/>
          <w:szCs w:val="21"/>
        </w:rPr>
      </w:pPr>
      <w:r>
        <w:rPr>
          <w:rFonts w:hint="eastAsia" w:ascii="宋体" w:hAnsi="宋体" w:cs="宋体"/>
          <w:color w:val="000000"/>
          <w:sz w:val="21"/>
          <w:szCs w:val="21"/>
        </w:rPr>
        <w:t>表</w:t>
      </w:r>
      <w:r>
        <w:rPr>
          <w:rFonts w:cs="Times New Roman"/>
          <w:color w:val="000000"/>
          <w:sz w:val="21"/>
          <w:szCs w:val="21"/>
        </w:rPr>
        <w:t>2-1</w:t>
      </w:r>
    </w:p>
    <w:tbl>
      <w:tblPr>
        <w:tblStyle w:val="15"/>
        <w:tblW w:w="9355" w:type="dxa"/>
        <w:jc w:val="center"/>
        <w:tblLayout w:type="autofit"/>
        <w:tblCellMar>
          <w:top w:w="0" w:type="dxa"/>
          <w:left w:w="0" w:type="dxa"/>
          <w:bottom w:w="0" w:type="dxa"/>
          <w:right w:w="0" w:type="dxa"/>
        </w:tblCellMar>
      </w:tblPr>
      <w:tblGrid>
        <w:gridCol w:w="1395"/>
        <w:gridCol w:w="3090"/>
        <w:gridCol w:w="3234"/>
        <w:gridCol w:w="1636"/>
      </w:tblGrid>
      <w:tr w14:paraId="6973801A">
        <w:tblPrEx>
          <w:tblCellMar>
            <w:top w:w="0" w:type="dxa"/>
            <w:left w:w="0" w:type="dxa"/>
            <w:bottom w:w="0" w:type="dxa"/>
            <w:right w:w="0" w:type="dxa"/>
          </w:tblCellMar>
        </w:tblPrEx>
        <w:trPr>
          <w:trHeight w:val="623" w:hRule="atLeast"/>
          <w:tblHeader/>
          <w:jc w:val="center"/>
        </w:trPr>
        <w:tc>
          <w:tcPr>
            <w:tcW w:w="1396"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5D41A62C">
            <w:pPr>
              <w:snapToGrid w:val="0"/>
              <w:spacing w:line="240" w:lineRule="auto"/>
              <w:ind w:left="0" w:leftChars="0"/>
              <w:jc w:val="center"/>
              <w:rPr>
                <w:rFonts w:hint="eastAsia" w:ascii="宋体" w:hAnsi="宋体" w:cs="宋体"/>
                <w:color w:val="4874CB" w:themeColor="accent1"/>
                <w14:textFill>
                  <w14:solidFill>
                    <w14:schemeClr w14:val="accent1"/>
                  </w14:solidFill>
                </w14:textFill>
              </w:rPr>
            </w:pPr>
            <w:r>
              <w:rPr>
                <w:rFonts w:hint="eastAsia" w:ascii="宋体" w:hAnsi="宋体" w:cs="宋体"/>
                <w:color w:val="0D0D0D" w:themeColor="text1" w:themeTint="F2"/>
                <w14:textFill>
                  <w14:solidFill>
                    <w14:schemeClr w14:val="tx1">
                      <w14:lumMod w14:val="95000"/>
                      <w14:lumOff w14:val="5000"/>
                    </w14:schemeClr>
                  </w14:solidFill>
                </w14:textFill>
              </w:rPr>
              <w:t>方法</w:t>
            </w:r>
          </w:p>
        </w:tc>
        <w:tc>
          <w:tcPr>
            <w:tcW w:w="3090"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3A90C4C5">
            <w:pPr>
              <w:snapToGrid w:val="0"/>
              <w:spacing w:line="240" w:lineRule="auto"/>
              <w:ind w:left="0" w:leftChars="0"/>
              <w:jc w:val="center"/>
              <w:rPr>
                <w:rFonts w:hint="eastAsia" w:ascii="宋体" w:hAnsi="宋体" w:cs="宋体"/>
                <w:color w:val="4874CB" w:themeColor="accent1"/>
                <w14:textFill>
                  <w14:solidFill>
                    <w14:schemeClr w14:val="accent1"/>
                  </w14:solidFill>
                </w14:textFill>
              </w:rPr>
            </w:pPr>
            <w:r>
              <w:rPr>
                <w:rFonts w:hint="eastAsia" w:ascii="宋体" w:hAnsi="宋体" w:cs="宋体"/>
                <w:color w:val="0D0D0D" w:themeColor="text1" w:themeTint="F2"/>
                <w14:textFill>
                  <w14:solidFill>
                    <w14:schemeClr w14:val="tx1">
                      <w14:lumMod w14:val="95000"/>
                      <w14:lumOff w14:val="5000"/>
                    </w14:schemeClr>
                  </w14:solidFill>
                </w14:textFill>
              </w:rPr>
              <w:t>适用情况</w:t>
            </w:r>
          </w:p>
        </w:tc>
        <w:tc>
          <w:tcPr>
            <w:tcW w:w="3234"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5ED98ACA">
            <w:pPr>
              <w:snapToGrid w:val="0"/>
              <w:spacing w:line="240" w:lineRule="auto"/>
              <w:ind w:left="0" w:leftChars="0"/>
              <w:jc w:val="center"/>
              <w:rPr>
                <w:rFonts w:hint="eastAsia" w:ascii="宋体" w:hAnsi="宋体" w:cs="宋体"/>
                <w:color w:val="4874CB" w:themeColor="accent1"/>
                <w14:textFill>
                  <w14:solidFill>
                    <w14:schemeClr w14:val="accent1"/>
                  </w14:solidFill>
                </w14:textFill>
              </w:rPr>
            </w:pPr>
            <w:r>
              <w:rPr>
                <w:rFonts w:hint="eastAsia" w:ascii="宋体" w:hAnsi="宋体" w:cs="宋体"/>
                <w:color w:val="0D0D0D" w:themeColor="text1" w:themeTint="F2"/>
                <w14:textFill>
                  <w14:solidFill>
                    <w14:schemeClr w14:val="tx1">
                      <w14:lumMod w14:val="95000"/>
                      <w14:lumOff w14:val="5000"/>
                    </w14:schemeClr>
                  </w14:solidFill>
                </w14:textFill>
              </w:rPr>
              <w:t>主要限制</w:t>
            </w:r>
          </w:p>
        </w:tc>
        <w:tc>
          <w:tcPr>
            <w:tcW w:w="1636"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5AAE3D53">
            <w:pPr>
              <w:snapToGrid w:val="0"/>
              <w:spacing w:line="240" w:lineRule="auto"/>
              <w:ind w:left="0" w:leftChars="0"/>
              <w:jc w:val="center"/>
              <w:rPr>
                <w:rFonts w:hint="eastAsia" w:ascii="宋体" w:hAnsi="宋体" w:cs="宋体"/>
                <w:color w:val="000000" w:themeColor="dark1"/>
                <w14:textFill>
                  <w14:solidFill>
                    <w14:schemeClr w14:val="dk1"/>
                  </w14:solidFill>
                </w14:textFill>
              </w:rPr>
            </w:pPr>
            <w:r>
              <w:rPr>
                <w:rFonts w:hint="eastAsia" w:ascii="宋体" w:hAnsi="宋体" w:cs="宋体"/>
                <w:color w:val="000000" w:themeColor="dark1"/>
                <w14:textFill>
                  <w14:solidFill>
                    <w14:schemeClr w14:val="dk1"/>
                  </w14:solidFill>
                </w14:textFill>
              </w:rPr>
              <w:t>作用</w:t>
            </w:r>
          </w:p>
        </w:tc>
      </w:tr>
      <w:tr w14:paraId="10663A45">
        <w:tblPrEx>
          <w:tblCellMar>
            <w:top w:w="0" w:type="dxa"/>
            <w:left w:w="0" w:type="dxa"/>
            <w:bottom w:w="0" w:type="dxa"/>
            <w:right w:w="0" w:type="dxa"/>
          </w:tblCellMar>
        </w:tblPrEx>
        <w:trPr>
          <w:trHeight w:val="1048" w:hRule="atLeast"/>
          <w:jc w:val="center"/>
        </w:trPr>
        <w:tc>
          <w:tcPr>
            <w:tcW w:w="1396"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0F065551">
            <w:pPr>
              <w:snapToGrid w:val="0"/>
              <w:spacing w:line="240" w:lineRule="auto"/>
              <w:ind w:left="0" w:leftChars="0"/>
              <w:jc w:val="center"/>
              <w:rPr>
                <w:rFonts w:hint="eastAsia" w:ascii="宋体" w:hAnsi="宋体" w:cs="宋体"/>
                <w:color w:val="08090C"/>
              </w:rPr>
            </w:pPr>
            <w:r>
              <w:rPr>
                <w:rFonts w:hint="eastAsia" w:ascii="宋体" w:hAnsi="宋体" w:cs="宋体"/>
                <w:color w:val="08090C"/>
              </w:rPr>
              <w:t>角谱法</w:t>
            </w:r>
          </w:p>
        </w:tc>
        <w:tc>
          <w:tcPr>
            <w:tcW w:w="3090"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0103BF2C">
            <w:pPr>
              <w:snapToGrid w:val="0"/>
              <w:spacing w:line="240" w:lineRule="auto"/>
              <w:ind w:left="0" w:leftChars="0"/>
              <w:jc w:val="center"/>
              <w:rPr>
                <w:rFonts w:hint="eastAsia" w:ascii="宋体" w:hAnsi="宋体" w:cs="宋体"/>
                <w:color w:val="08090C"/>
              </w:rPr>
            </w:pPr>
            <w:r>
              <w:rPr>
                <w:rFonts w:hint="eastAsia" w:ascii="宋体" w:hAnsi="宋体" w:cs="宋体"/>
                <w:color w:val="08090C"/>
              </w:rPr>
              <w:t>一般自由空间传播、非严格近轴情况</w:t>
            </w:r>
          </w:p>
        </w:tc>
        <w:tc>
          <w:tcPr>
            <w:tcW w:w="3234"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07C9BE0D">
            <w:pPr>
              <w:snapToGrid w:val="0"/>
              <w:spacing w:line="240" w:lineRule="auto"/>
              <w:ind w:left="0" w:leftChars="0"/>
              <w:jc w:val="center"/>
              <w:rPr>
                <w:rFonts w:hint="eastAsia" w:ascii="宋体" w:hAnsi="宋体" w:cs="宋体"/>
                <w:color w:val="08090C"/>
              </w:rPr>
            </w:pPr>
            <w:r>
              <w:rPr>
                <w:rFonts w:hint="eastAsia" w:ascii="宋体" w:hAnsi="宋体" w:cs="宋体"/>
                <w:color w:val="08090C"/>
              </w:rPr>
              <w:t>受网格、窗口和传播</w:t>
            </w:r>
          </w:p>
          <w:p w14:paraId="618C9BA4">
            <w:pPr>
              <w:snapToGrid w:val="0"/>
              <w:spacing w:line="240" w:lineRule="auto"/>
              <w:ind w:left="0" w:leftChars="0"/>
              <w:jc w:val="center"/>
              <w:rPr>
                <w:rFonts w:hint="eastAsia" w:ascii="宋体" w:hAnsi="宋体" w:cs="宋体"/>
                <w:color w:val="08090C"/>
              </w:rPr>
            </w:pPr>
            <w:r>
              <w:rPr>
                <w:rFonts w:hint="eastAsia" w:ascii="宋体" w:hAnsi="宋体" w:cs="宋体"/>
                <w:color w:val="08090C"/>
              </w:rPr>
              <w:t>距离影响，可能混叠</w:t>
            </w:r>
          </w:p>
        </w:tc>
        <w:tc>
          <w:tcPr>
            <w:tcW w:w="1636"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6A3BBA48">
            <w:pPr>
              <w:snapToGrid w:val="0"/>
              <w:spacing w:line="240" w:lineRule="auto"/>
              <w:ind w:left="0" w:leftChars="0"/>
              <w:jc w:val="center"/>
              <w:rPr>
                <w:rFonts w:hint="eastAsia" w:ascii="宋体" w:hAnsi="宋体" w:cs="宋体"/>
                <w:color w:val="08090C"/>
              </w:rPr>
            </w:pPr>
            <w:r>
              <w:rPr>
                <w:rFonts w:hint="eastAsia" w:ascii="宋体" w:hAnsi="宋体" w:cs="宋体"/>
                <w:color w:val="08090C"/>
              </w:rPr>
              <w:t>主要传播方法</w:t>
            </w:r>
          </w:p>
        </w:tc>
      </w:tr>
      <w:tr w14:paraId="690DB0D7">
        <w:tblPrEx>
          <w:tblCellMar>
            <w:top w:w="0" w:type="dxa"/>
            <w:left w:w="0" w:type="dxa"/>
            <w:bottom w:w="0" w:type="dxa"/>
            <w:right w:w="0" w:type="dxa"/>
          </w:tblCellMar>
        </w:tblPrEx>
        <w:trPr>
          <w:trHeight w:val="949" w:hRule="atLeast"/>
          <w:jc w:val="center"/>
        </w:trPr>
        <w:tc>
          <w:tcPr>
            <w:tcW w:w="1396" w:type="dxa"/>
            <w:tcBorders>
              <w:top w:val="nil"/>
              <w:left w:val="nil"/>
              <w:bottom w:val="nil"/>
              <w:right w:val="nil"/>
            </w:tcBorders>
            <w:shd w:val="clear" w:color="auto" w:fill="FFFFFF"/>
            <w:tcMar>
              <w:top w:w="-1" w:type="dxa"/>
              <w:left w:w="-1" w:type="dxa"/>
              <w:bottom w:w="-1" w:type="dxa"/>
              <w:right w:w="-1" w:type="dxa"/>
            </w:tcMar>
            <w:vAlign w:val="center"/>
          </w:tcPr>
          <w:p w14:paraId="3CD621F0">
            <w:pPr>
              <w:snapToGrid w:val="0"/>
              <w:spacing w:line="240" w:lineRule="auto"/>
              <w:ind w:left="0" w:leftChars="0"/>
              <w:jc w:val="center"/>
              <w:rPr>
                <w:rFonts w:hint="eastAsia" w:ascii="宋体" w:hAnsi="宋体" w:cs="宋体"/>
                <w:color w:val="08090C"/>
              </w:rPr>
            </w:pPr>
            <w:r>
              <w:rPr>
                <w:rFonts w:hint="eastAsia" w:ascii="宋体" w:hAnsi="宋体" w:cs="宋体"/>
                <w:color w:val="08090C"/>
              </w:rPr>
              <w:t>带限角谱法</w:t>
            </w:r>
          </w:p>
        </w:tc>
        <w:tc>
          <w:tcPr>
            <w:tcW w:w="3090" w:type="dxa"/>
            <w:tcBorders>
              <w:top w:val="nil"/>
              <w:left w:val="nil"/>
              <w:bottom w:val="nil"/>
              <w:right w:val="nil"/>
            </w:tcBorders>
            <w:shd w:val="clear" w:color="auto" w:fill="FFFFFF"/>
            <w:tcMar>
              <w:top w:w="-1" w:type="dxa"/>
              <w:left w:w="-1" w:type="dxa"/>
              <w:bottom w:w="-1" w:type="dxa"/>
              <w:right w:w="-1" w:type="dxa"/>
            </w:tcMar>
            <w:vAlign w:val="center"/>
          </w:tcPr>
          <w:p w14:paraId="7DE0C8DA">
            <w:pPr>
              <w:snapToGrid w:val="0"/>
              <w:spacing w:line="240" w:lineRule="auto"/>
              <w:ind w:left="0" w:leftChars="0"/>
              <w:jc w:val="center"/>
              <w:rPr>
                <w:rFonts w:hint="eastAsia" w:ascii="宋体" w:hAnsi="宋体" w:cs="宋体"/>
                <w:color w:val="08090C"/>
              </w:rPr>
            </w:pPr>
            <w:r>
              <w:rPr>
                <w:rFonts w:hint="eastAsia" w:ascii="宋体" w:hAnsi="宋体" w:cs="宋体"/>
                <w:color w:val="08090C"/>
              </w:rPr>
              <w:t>普通角谱法存在频</w:t>
            </w:r>
          </w:p>
          <w:p w14:paraId="33865D24">
            <w:pPr>
              <w:snapToGrid w:val="0"/>
              <w:spacing w:line="240" w:lineRule="auto"/>
              <w:ind w:left="0" w:leftChars="0"/>
              <w:jc w:val="center"/>
              <w:rPr>
                <w:rFonts w:hint="eastAsia" w:ascii="宋体" w:hAnsi="宋体" w:cs="宋体"/>
                <w:color w:val="08090C"/>
              </w:rPr>
            </w:pPr>
            <w:r>
              <w:rPr>
                <w:rFonts w:hint="eastAsia" w:ascii="宋体" w:hAnsi="宋体" w:cs="宋体"/>
                <w:color w:val="08090C"/>
              </w:rPr>
              <w:t>谱欠采样时</w:t>
            </w:r>
          </w:p>
        </w:tc>
        <w:tc>
          <w:tcPr>
            <w:tcW w:w="3234" w:type="dxa"/>
            <w:tcBorders>
              <w:top w:val="nil"/>
              <w:left w:val="nil"/>
              <w:bottom w:val="nil"/>
              <w:right w:val="nil"/>
            </w:tcBorders>
            <w:shd w:val="clear" w:color="auto" w:fill="FFFFFF"/>
            <w:tcMar>
              <w:top w:w="-1" w:type="dxa"/>
              <w:left w:w="-1" w:type="dxa"/>
              <w:bottom w:w="-1" w:type="dxa"/>
              <w:right w:w="-1" w:type="dxa"/>
            </w:tcMar>
            <w:vAlign w:val="center"/>
          </w:tcPr>
          <w:p w14:paraId="44AFF0FD">
            <w:pPr>
              <w:snapToGrid w:val="0"/>
              <w:spacing w:line="240" w:lineRule="auto"/>
              <w:ind w:left="0" w:leftChars="0"/>
              <w:jc w:val="center"/>
              <w:rPr>
                <w:rFonts w:hint="eastAsia" w:ascii="宋体" w:hAnsi="宋体" w:cs="宋体"/>
                <w:color w:val="08090C"/>
              </w:rPr>
            </w:pPr>
            <w:r>
              <w:rPr>
                <w:rFonts w:hint="eastAsia" w:ascii="宋体" w:hAnsi="宋体" w:cs="宋体"/>
                <w:color w:val="08090C"/>
              </w:rPr>
              <w:t>会限制部分空间频率，截止范围需合理设置</w:t>
            </w:r>
          </w:p>
        </w:tc>
        <w:tc>
          <w:tcPr>
            <w:tcW w:w="1636" w:type="dxa"/>
            <w:tcBorders>
              <w:top w:val="nil"/>
              <w:left w:val="nil"/>
              <w:bottom w:val="nil"/>
              <w:right w:val="nil"/>
            </w:tcBorders>
            <w:shd w:val="clear" w:color="auto" w:fill="FFFFFF"/>
            <w:tcMar>
              <w:top w:w="-1" w:type="dxa"/>
              <w:left w:w="-1" w:type="dxa"/>
              <w:bottom w:w="-1" w:type="dxa"/>
              <w:right w:w="-1" w:type="dxa"/>
            </w:tcMar>
            <w:vAlign w:val="center"/>
          </w:tcPr>
          <w:p w14:paraId="2CBCFB9E">
            <w:pPr>
              <w:snapToGrid w:val="0"/>
              <w:spacing w:line="240" w:lineRule="auto"/>
              <w:ind w:left="0" w:leftChars="0"/>
              <w:jc w:val="center"/>
              <w:rPr>
                <w:rFonts w:hint="eastAsia" w:ascii="宋体" w:hAnsi="宋体" w:cs="宋体"/>
                <w:color w:val="08090C"/>
              </w:rPr>
            </w:pPr>
            <w:r>
              <w:rPr>
                <w:rFonts w:hint="eastAsia" w:ascii="宋体" w:hAnsi="宋体" w:cs="宋体"/>
                <w:color w:val="08090C"/>
              </w:rPr>
              <w:t>抑制数值混叠</w:t>
            </w:r>
          </w:p>
        </w:tc>
      </w:tr>
      <w:tr w14:paraId="3E165915">
        <w:tblPrEx>
          <w:tblCellMar>
            <w:top w:w="0" w:type="dxa"/>
            <w:left w:w="0" w:type="dxa"/>
            <w:bottom w:w="0" w:type="dxa"/>
            <w:right w:w="0" w:type="dxa"/>
          </w:tblCellMar>
        </w:tblPrEx>
        <w:trPr>
          <w:trHeight w:val="1058" w:hRule="atLeast"/>
          <w:jc w:val="center"/>
        </w:trPr>
        <w:tc>
          <w:tcPr>
            <w:tcW w:w="1396"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D461D25">
            <w:pPr>
              <w:snapToGrid w:val="0"/>
              <w:spacing w:line="240" w:lineRule="auto"/>
              <w:ind w:left="0" w:leftChars="0"/>
              <w:jc w:val="center"/>
              <w:rPr>
                <w:rFonts w:hint="eastAsia" w:ascii="宋体" w:hAnsi="宋体" w:cs="宋体"/>
                <w:color w:val="08090C"/>
              </w:rPr>
            </w:pPr>
            <w:r>
              <w:rPr>
                <w:rFonts w:cs="Times New Roman"/>
                <w:color w:val="08090C"/>
              </w:rPr>
              <w:t>Fresnel</w:t>
            </w:r>
            <w:r>
              <w:rPr>
                <w:rFonts w:hint="eastAsia" w:ascii="宋体" w:hAnsi="宋体" w:cs="宋体"/>
                <w:color w:val="08090C"/>
              </w:rPr>
              <w:t>法</w:t>
            </w:r>
          </w:p>
        </w:tc>
        <w:tc>
          <w:tcPr>
            <w:tcW w:w="3090"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15D8E3A5">
            <w:pPr>
              <w:snapToGrid w:val="0"/>
              <w:spacing w:line="240" w:lineRule="auto"/>
              <w:ind w:left="0" w:leftChars="0"/>
              <w:jc w:val="center"/>
              <w:rPr>
                <w:rFonts w:hint="eastAsia" w:ascii="宋体" w:hAnsi="宋体" w:cs="宋体"/>
                <w:color w:val="08090C"/>
              </w:rPr>
            </w:pPr>
            <w:r>
              <w:rPr>
                <w:rFonts w:hint="eastAsia" w:ascii="宋体" w:hAnsi="宋体" w:cs="宋体"/>
                <w:color w:val="08090C"/>
              </w:rPr>
              <w:t>近轴、小角度、低NA传播</w:t>
            </w:r>
          </w:p>
        </w:tc>
        <w:tc>
          <w:tcPr>
            <w:tcW w:w="3234"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3CA1E431">
            <w:pPr>
              <w:snapToGrid w:val="0"/>
              <w:spacing w:line="240" w:lineRule="auto"/>
              <w:ind w:left="0" w:leftChars="0"/>
              <w:jc w:val="center"/>
              <w:rPr>
                <w:rFonts w:hint="eastAsia" w:ascii="宋体" w:hAnsi="宋体" w:cs="宋体"/>
                <w:color w:val="08090C"/>
              </w:rPr>
            </w:pPr>
            <w:r>
              <w:rPr>
                <w:rFonts w:hint="eastAsia" w:ascii="宋体" w:hAnsi="宋体" w:cs="宋体"/>
                <w:color w:val="08090C"/>
              </w:rPr>
              <w:t>不适合大角度和明显</w:t>
            </w:r>
          </w:p>
          <w:p w14:paraId="29BC0EEF">
            <w:pPr>
              <w:snapToGrid w:val="0"/>
              <w:spacing w:line="240" w:lineRule="auto"/>
              <w:ind w:left="0" w:leftChars="0"/>
              <w:jc w:val="center"/>
              <w:rPr>
                <w:rFonts w:hint="eastAsia" w:ascii="宋体" w:hAnsi="宋体" w:cs="宋体"/>
                <w:color w:val="08090C"/>
              </w:rPr>
            </w:pPr>
            <w:r>
              <w:rPr>
                <w:rFonts w:hint="eastAsia" w:ascii="宋体" w:hAnsi="宋体" w:cs="宋体"/>
                <w:color w:val="08090C"/>
              </w:rPr>
              <w:t>非近轴情况</w:t>
            </w:r>
          </w:p>
        </w:tc>
        <w:tc>
          <w:tcPr>
            <w:tcW w:w="1636"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2E95A637">
            <w:pPr>
              <w:snapToGrid w:val="0"/>
              <w:spacing w:line="240" w:lineRule="auto"/>
              <w:ind w:left="0" w:leftChars="0"/>
              <w:jc w:val="center"/>
              <w:rPr>
                <w:rFonts w:hint="eastAsia" w:ascii="宋体" w:hAnsi="宋体" w:cs="宋体"/>
                <w:color w:val="08090C"/>
              </w:rPr>
            </w:pPr>
            <w:r>
              <w:rPr>
                <w:rFonts w:hint="eastAsia" w:ascii="宋体" w:hAnsi="宋体" w:cs="宋体"/>
                <w:color w:val="08090C"/>
              </w:rPr>
              <w:t>快速估算</w:t>
            </w:r>
          </w:p>
        </w:tc>
      </w:tr>
    </w:tbl>
    <w:p w14:paraId="7A6450F1">
      <w:pPr>
        <w:ind w:firstLine="480" w:firstLineChars="200"/>
      </w:pPr>
    </w:p>
    <w:p w14:paraId="75823757">
      <w:pPr>
        <w:pStyle w:val="4"/>
        <w:spacing w:before="156" w:after="156"/>
      </w:pPr>
      <w:bookmarkStart w:id="21" w:name="_Toc29599"/>
      <w:r>
        <w:rPr>
          <w:rFonts w:hint="eastAsia"/>
        </w:rPr>
        <w:t>2.7.2光纤模场构造</w:t>
      </w:r>
      <w:bookmarkEnd w:id="21"/>
    </w:p>
    <w:p w14:paraId="1F92064F">
      <w:pPr>
        <w:ind w:firstLine="480" w:firstLineChars="200"/>
      </w:pPr>
      <w:r>
        <w:t>当只掌握光纤模场直径而缺少完整折射率分布时，平台采用归一化 Gaussian 模式作为快速目标模式。设模场半径 wf=MFD/2，则 Ef(x,y)=Cf exp[−(x²+y²)/wf²]，其中 Cf 由功率归一化条件确定。对于椭圆模场，可分别使用 wfx 和 wfy 描述两个方向。</w:t>
      </w:r>
    </w:p>
    <w:p w14:paraId="4008C85C">
      <w:pPr>
        <w:ind w:firstLine="480" w:firstLineChars="200"/>
      </w:pPr>
      <w:r>
        <w:t>对于弱导、圆形阶跃型光纤，可依据归一化频率 V=2πa NA/λ 构造 LP01 标量模式；对于需要考虑偏振和纵向场的研究，可使用工程 HE11 矢量模式。平台根据数据完整程度和研究目标选择不同模式，避免在缺少材料信息时人为引入过多不可确定参数。</w:t>
      </w:r>
    </w:p>
    <w:p w14:paraId="2BFB4C16">
      <w:pPr>
        <w:ind w:firstLine="480" w:firstLineChars="200"/>
      </w:pPr>
      <w:r>
        <w:t>目标模式必须与入射复场使用相同坐标原点、采样间隔、窗口范围和传播方向。平台在模式重叠前执行网格对齐和归一化，并将模式中心、偏移、倾角和模场半径作为可追溯参数保存。三类模式的适用条件与平台定位见表 2-2。</w:t>
      </w:r>
    </w:p>
    <w:p w14:paraId="62A2B996">
      <w:pPr>
        <w:ind w:firstLine="420" w:firstLineChars="200"/>
        <w:jc w:val="center"/>
        <w:rPr>
          <w:rFonts w:hint="eastAsia" w:ascii="宋体" w:hAnsi="宋体" w:cs="宋体"/>
          <w:sz w:val="21"/>
          <w:szCs w:val="21"/>
        </w:rPr>
      </w:pPr>
      <w:r>
        <w:rPr>
          <w:rFonts w:hint="eastAsia" w:ascii="宋体" w:hAnsi="宋体" w:cs="宋体"/>
          <w:color w:val="000000"/>
          <w:sz w:val="21"/>
          <w:szCs w:val="21"/>
        </w:rPr>
        <w:t>表</w:t>
      </w:r>
      <w:r>
        <w:rPr>
          <w:rFonts w:cs="Times New Roman"/>
          <w:color w:val="000000"/>
          <w:sz w:val="21"/>
          <w:szCs w:val="21"/>
        </w:rPr>
        <w:t>2-2</w:t>
      </w:r>
    </w:p>
    <w:tbl>
      <w:tblPr>
        <w:tblStyle w:val="15"/>
        <w:tblW w:w="9355" w:type="dxa"/>
        <w:jc w:val="center"/>
        <w:tblLayout w:type="autofit"/>
        <w:tblCellMar>
          <w:top w:w="0" w:type="dxa"/>
          <w:left w:w="0" w:type="dxa"/>
          <w:bottom w:w="0" w:type="dxa"/>
          <w:right w:w="0" w:type="dxa"/>
        </w:tblCellMar>
      </w:tblPr>
      <w:tblGrid>
        <w:gridCol w:w="2397"/>
        <w:gridCol w:w="5494"/>
        <w:gridCol w:w="1464"/>
      </w:tblGrid>
      <w:tr w14:paraId="6734B600">
        <w:tblPrEx>
          <w:tblCellMar>
            <w:top w:w="0" w:type="dxa"/>
            <w:left w:w="0" w:type="dxa"/>
            <w:bottom w:w="0" w:type="dxa"/>
            <w:right w:w="0" w:type="dxa"/>
          </w:tblCellMar>
        </w:tblPrEx>
        <w:trPr>
          <w:trHeight w:val="442" w:hRule="atLeast"/>
          <w:tblHeader/>
          <w:jc w:val="center"/>
        </w:trPr>
        <w:tc>
          <w:tcPr>
            <w:tcW w:w="2397" w:type="dxa"/>
            <w:tcBorders>
              <w:top w:val="single" w:color="auto" w:sz="12" w:space="0"/>
              <w:left w:val="nil"/>
              <w:bottom w:val="nil"/>
              <w:right w:val="nil"/>
            </w:tcBorders>
            <w:tcMar>
              <w:top w:w="-1" w:type="dxa"/>
              <w:left w:w="-1" w:type="dxa"/>
              <w:bottom w:w="-1" w:type="dxa"/>
              <w:right w:w="-1" w:type="dxa"/>
            </w:tcMar>
            <w:vAlign w:val="center"/>
          </w:tcPr>
          <w:p w14:paraId="17B6A848">
            <w:pPr>
              <w:snapToGrid w:val="0"/>
              <w:spacing w:line="240" w:lineRule="auto"/>
              <w:ind w:left="0" w:leftChars="0"/>
              <w:jc w:val="center"/>
              <w:rPr>
                <w:rFonts w:hint="eastAsia" w:ascii="宋体" w:hAnsi="宋体" w:cs="宋体"/>
                <w:b/>
              </w:rPr>
            </w:pPr>
            <w:r>
              <w:rPr>
                <w:rFonts w:hint="eastAsia" w:ascii="宋体" w:hAnsi="宋体" w:cs="宋体"/>
                <w:bCs/>
              </w:rPr>
              <w:t>模型或方法</w:t>
            </w:r>
          </w:p>
        </w:tc>
        <w:tc>
          <w:tcPr>
            <w:tcW w:w="5494" w:type="dxa"/>
            <w:tcBorders>
              <w:top w:val="single" w:color="auto" w:sz="12" w:space="0"/>
              <w:left w:val="nil"/>
              <w:bottom w:val="nil"/>
              <w:right w:val="nil"/>
            </w:tcBorders>
            <w:tcMar>
              <w:top w:w="-1" w:type="dxa"/>
              <w:left w:w="-1" w:type="dxa"/>
              <w:bottom w:w="-1" w:type="dxa"/>
              <w:right w:w="-1" w:type="dxa"/>
            </w:tcMar>
            <w:vAlign w:val="center"/>
          </w:tcPr>
          <w:p w14:paraId="55627E23">
            <w:pPr>
              <w:snapToGrid w:val="0"/>
              <w:spacing w:line="240" w:lineRule="auto"/>
              <w:ind w:left="0" w:leftChars="0"/>
              <w:jc w:val="center"/>
              <w:rPr>
                <w:rFonts w:hint="eastAsia" w:ascii="宋体" w:hAnsi="宋体" w:cs="宋体"/>
                <w:b/>
              </w:rPr>
            </w:pPr>
            <w:r>
              <w:rPr>
                <w:rFonts w:hint="eastAsia" w:ascii="宋体" w:hAnsi="宋体" w:cs="宋体"/>
                <w:bCs/>
              </w:rPr>
              <w:t>适用条件</w:t>
            </w:r>
          </w:p>
        </w:tc>
        <w:tc>
          <w:tcPr>
            <w:tcW w:w="1464" w:type="dxa"/>
            <w:tcBorders>
              <w:top w:val="single" w:color="auto" w:sz="12" w:space="0"/>
              <w:left w:val="nil"/>
              <w:bottom w:val="nil"/>
              <w:right w:val="nil"/>
            </w:tcBorders>
            <w:tcMar>
              <w:top w:w="-1" w:type="dxa"/>
              <w:left w:w="-1" w:type="dxa"/>
              <w:bottom w:w="-1" w:type="dxa"/>
              <w:right w:w="-1" w:type="dxa"/>
            </w:tcMar>
            <w:vAlign w:val="center"/>
          </w:tcPr>
          <w:p w14:paraId="3E8DF675">
            <w:pPr>
              <w:snapToGrid w:val="0"/>
              <w:spacing w:line="240" w:lineRule="auto"/>
              <w:ind w:left="0" w:leftChars="0"/>
              <w:jc w:val="center"/>
              <w:rPr>
                <w:rFonts w:hint="eastAsia" w:ascii="宋体" w:hAnsi="宋体" w:cs="宋体"/>
                <w:b/>
              </w:rPr>
            </w:pPr>
            <w:r>
              <w:rPr>
                <w:rFonts w:hint="eastAsia" w:ascii="宋体" w:hAnsi="宋体" w:cs="宋体"/>
                <w:bCs/>
              </w:rPr>
              <w:t>平台定位</w:t>
            </w:r>
          </w:p>
        </w:tc>
      </w:tr>
      <w:tr w14:paraId="0017857F">
        <w:tblPrEx>
          <w:tblCellMar>
            <w:top w:w="0" w:type="dxa"/>
            <w:left w:w="0" w:type="dxa"/>
            <w:bottom w:w="0" w:type="dxa"/>
            <w:right w:w="0" w:type="dxa"/>
          </w:tblCellMar>
        </w:tblPrEx>
        <w:trPr>
          <w:trHeight w:val="551" w:hRule="atLeast"/>
          <w:jc w:val="center"/>
        </w:trPr>
        <w:tc>
          <w:tcPr>
            <w:tcW w:w="2397" w:type="dxa"/>
            <w:tcBorders>
              <w:top w:val="single" w:color="auto" w:sz="4" w:space="0"/>
              <w:left w:val="nil"/>
              <w:bottom w:val="nil"/>
              <w:right w:val="nil"/>
            </w:tcBorders>
            <w:tcMar>
              <w:top w:w="-1" w:type="dxa"/>
              <w:left w:w="-1" w:type="dxa"/>
              <w:bottom w:w="-1" w:type="dxa"/>
              <w:right w:w="-1" w:type="dxa"/>
            </w:tcMar>
            <w:vAlign w:val="center"/>
          </w:tcPr>
          <w:p w14:paraId="6C37137C">
            <w:pPr>
              <w:snapToGrid w:val="0"/>
              <w:spacing w:line="240" w:lineRule="auto"/>
              <w:ind w:left="0" w:leftChars="0"/>
              <w:jc w:val="center"/>
              <w:rPr>
                <w:rFonts w:hint="eastAsia" w:ascii="宋体" w:hAnsi="宋体" w:cs="宋体"/>
              </w:rPr>
            </w:pPr>
            <w:r>
              <w:rPr>
                <w:rFonts w:cs="Times New Roman"/>
              </w:rPr>
              <w:t>Gaussian</w:t>
            </w:r>
            <w:r>
              <w:rPr>
                <w:rFonts w:hint="eastAsia" w:ascii="宋体" w:hAnsi="宋体" w:cs="宋体"/>
              </w:rPr>
              <w:t>近似</w:t>
            </w:r>
          </w:p>
        </w:tc>
        <w:tc>
          <w:tcPr>
            <w:tcW w:w="5494" w:type="dxa"/>
            <w:tcBorders>
              <w:top w:val="single" w:color="auto" w:sz="4" w:space="0"/>
              <w:left w:val="nil"/>
              <w:bottom w:val="nil"/>
              <w:right w:val="nil"/>
            </w:tcBorders>
            <w:tcMar>
              <w:top w:w="-1" w:type="dxa"/>
              <w:left w:w="-1" w:type="dxa"/>
              <w:bottom w:w="-1" w:type="dxa"/>
              <w:right w:w="-1" w:type="dxa"/>
            </w:tcMar>
            <w:vAlign w:val="center"/>
          </w:tcPr>
          <w:p w14:paraId="17F3750F">
            <w:pPr>
              <w:snapToGrid w:val="0"/>
              <w:spacing w:line="240" w:lineRule="auto"/>
              <w:ind w:left="0" w:leftChars="0"/>
              <w:jc w:val="center"/>
              <w:rPr>
                <w:rFonts w:hint="eastAsia" w:ascii="宋体" w:hAnsi="宋体" w:cs="宋体"/>
              </w:rPr>
            </w:pPr>
            <w:r>
              <w:rPr>
                <w:rFonts w:hint="eastAsia" w:ascii="宋体" w:hAnsi="宋体" w:cs="宋体"/>
              </w:rPr>
              <w:t>基模接近高斯分布的弱导单模光纤</w:t>
            </w:r>
          </w:p>
        </w:tc>
        <w:tc>
          <w:tcPr>
            <w:tcW w:w="1464" w:type="dxa"/>
            <w:tcBorders>
              <w:top w:val="single" w:color="auto" w:sz="4" w:space="0"/>
              <w:left w:val="nil"/>
              <w:bottom w:val="nil"/>
              <w:right w:val="nil"/>
            </w:tcBorders>
            <w:tcMar>
              <w:top w:w="-1" w:type="dxa"/>
              <w:left w:w="-1" w:type="dxa"/>
              <w:bottom w:w="-1" w:type="dxa"/>
              <w:right w:w="-1" w:type="dxa"/>
            </w:tcMar>
            <w:vAlign w:val="center"/>
          </w:tcPr>
          <w:p w14:paraId="71DE8169">
            <w:pPr>
              <w:snapToGrid w:val="0"/>
              <w:spacing w:line="240" w:lineRule="auto"/>
              <w:ind w:left="0" w:leftChars="0"/>
              <w:jc w:val="center"/>
              <w:rPr>
                <w:rFonts w:hint="eastAsia" w:ascii="宋体" w:hAnsi="宋体" w:cs="宋体"/>
              </w:rPr>
            </w:pPr>
            <w:r>
              <w:rPr>
                <w:rFonts w:hint="eastAsia" w:ascii="宋体" w:hAnsi="宋体" w:cs="宋体"/>
              </w:rPr>
              <w:t>快速估算</w:t>
            </w:r>
          </w:p>
        </w:tc>
      </w:tr>
      <w:tr w14:paraId="0E102772">
        <w:tblPrEx>
          <w:tblCellMar>
            <w:top w:w="0" w:type="dxa"/>
            <w:left w:w="0" w:type="dxa"/>
            <w:bottom w:w="0" w:type="dxa"/>
            <w:right w:w="0" w:type="dxa"/>
          </w:tblCellMar>
        </w:tblPrEx>
        <w:trPr>
          <w:trHeight w:val="563" w:hRule="atLeast"/>
          <w:jc w:val="center"/>
        </w:trPr>
        <w:tc>
          <w:tcPr>
            <w:tcW w:w="2397" w:type="dxa"/>
            <w:tcBorders>
              <w:top w:val="nil"/>
              <w:left w:val="nil"/>
              <w:bottom w:val="nil"/>
              <w:right w:val="nil"/>
            </w:tcBorders>
            <w:tcMar>
              <w:top w:w="-1" w:type="dxa"/>
              <w:left w:w="-1" w:type="dxa"/>
              <w:bottom w:w="-1" w:type="dxa"/>
              <w:right w:w="-1" w:type="dxa"/>
            </w:tcMar>
            <w:vAlign w:val="center"/>
          </w:tcPr>
          <w:p w14:paraId="2168FF6D">
            <w:pPr>
              <w:snapToGrid w:val="0"/>
              <w:spacing w:line="240" w:lineRule="auto"/>
              <w:ind w:left="0" w:leftChars="0"/>
              <w:jc w:val="center"/>
              <w:rPr>
                <w:rFonts w:hint="eastAsia" w:ascii="宋体" w:hAnsi="宋体" w:cs="宋体"/>
              </w:rPr>
            </w:pPr>
            <w:r>
              <w:rPr>
                <w:rFonts w:cs="Times New Roman"/>
              </w:rPr>
              <w:t>LP01</w:t>
            </w:r>
            <w:r>
              <w:rPr>
                <w:rFonts w:hint="eastAsia" w:ascii="宋体" w:hAnsi="宋体" w:cs="宋体"/>
              </w:rPr>
              <w:t>标量模式</w:t>
            </w:r>
          </w:p>
        </w:tc>
        <w:tc>
          <w:tcPr>
            <w:tcW w:w="5494" w:type="dxa"/>
            <w:tcBorders>
              <w:top w:val="nil"/>
              <w:left w:val="nil"/>
              <w:bottom w:val="nil"/>
              <w:right w:val="nil"/>
            </w:tcBorders>
            <w:tcMar>
              <w:top w:w="-1" w:type="dxa"/>
              <w:left w:w="-1" w:type="dxa"/>
              <w:bottom w:w="-1" w:type="dxa"/>
              <w:right w:w="-1" w:type="dxa"/>
            </w:tcMar>
            <w:vAlign w:val="center"/>
          </w:tcPr>
          <w:p w14:paraId="541BCB78">
            <w:pPr>
              <w:snapToGrid w:val="0"/>
              <w:spacing w:line="240" w:lineRule="auto"/>
              <w:ind w:left="0" w:leftChars="0"/>
              <w:jc w:val="center"/>
              <w:rPr>
                <w:rFonts w:hint="eastAsia" w:ascii="宋体" w:hAnsi="宋体" w:cs="宋体"/>
              </w:rPr>
            </w:pPr>
            <w:r>
              <w:rPr>
                <w:rFonts w:hint="eastAsia" w:ascii="宋体" w:hAnsi="宋体" w:cs="宋体"/>
              </w:rPr>
              <w:t>弱导、圆形阶跃型光纤</w:t>
            </w:r>
          </w:p>
        </w:tc>
        <w:tc>
          <w:tcPr>
            <w:tcW w:w="1464" w:type="dxa"/>
            <w:tcBorders>
              <w:top w:val="nil"/>
              <w:left w:val="nil"/>
              <w:bottom w:val="nil"/>
              <w:right w:val="nil"/>
            </w:tcBorders>
            <w:tcMar>
              <w:top w:w="-1" w:type="dxa"/>
              <w:left w:w="-1" w:type="dxa"/>
              <w:bottom w:w="-1" w:type="dxa"/>
              <w:right w:w="-1" w:type="dxa"/>
            </w:tcMar>
            <w:vAlign w:val="center"/>
          </w:tcPr>
          <w:p w14:paraId="49599E06">
            <w:pPr>
              <w:snapToGrid w:val="0"/>
              <w:spacing w:line="240" w:lineRule="auto"/>
              <w:ind w:left="0" w:leftChars="0"/>
              <w:jc w:val="center"/>
              <w:rPr>
                <w:rFonts w:hint="eastAsia" w:ascii="宋体" w:hAnsi="宋体" w:cs="宋体"/>
              </w:rPr>
            </w:pPr>
            <w:r>
              <w:rPr>
                <w:rFonts w:hint="eastAsia" w:ascii="宋体" w:hAnsi="宋体" w:cs="宋体"/>
              </w:rPr>
              <w:t>工程计算</w:t>
            </w:r>
          </w:p>
        </w:tc>
      </w:tr>
      <w:tr w14:paraId="53DF57DD">
        <w:tblPrEx>
          <w:tblCellMar>
            <w:top w:w="0" w:type="dxa"/>
            <w:left w:w="0" w:type="dxa"/>
            <w:bottom w:w="0" w:type="dxa"/>
            <w:right w:w="0" w:type="dxa"/>
          </w:tblCellMar>
        </w:tblPrEx>
        <w:trPr>
          <w:trHeight w:val="584" w:hRule="atLeast"/>
          <w:jc w:val="center"/>
        </w:trPr>
        <w:tc>
          <w:tcPr>
            <w:tcW w:w="2397" w:type="dxa"/>
            <w:tcBorders>
              <w:top w:val="nil"/>
              <w:left w:val="nil"/>
              <w:bottom w:val="single" w:color="auto" w:sz="12" w:space="0"/>
              <w:right w:val="nil"/>
            </w:tcBorders>
            <w:tcMar>
              <w:top w:w="-1" w:type="dxa"/>
              <w:left w:w="-1" w:type="dxa"/>
              <w:bottom w:w="-1" w:type="dxa"/>
              <w:right w:w="-1" w:type="dxa"/>
            </w:tcMar>
            <w:vAlign w:val="center"/>
          </w:tcPr>
          <w:p w14:paraId="1CC5FD09">
            <w:pPr>
              <w:snapToGrid w:val="0"/>
              <w:spacing w:line="240" w:lineRule="auto"/>
              <w:ind w:left="0" w:leftChars="0"/>
              <w:jc w:val="center"/>
              <w:rPr>
                <w:rFonts w:hint="eastAsia" w:ascii="宋体" w:hAnsi="宋体" w:cs="宋体"/>
              </w:rPr>
            </w:pPr>
            <w:r>
              <w:rPr>
                <w:rFonts w:cs="Times New Roman"/>
              </w:rPr>
              <w:t>HE11</w:t>
            </w:r>
            <w:r>
              <w:rPr>
                <w:rFonts w:hint="eastAsia" w:ascii="宋体" w:hAnsi="宋体" w:cs="宋体"/>
              </w:rPr>
              <w:t>矢量模式</w:t>
            </w:r>
          </w:p>
        </w:tc>
        <w:tc>
          <w:tcPr>
            <w:tcW w:w="5494" w:type="dxa"/>
            <w:tcBorders>
              <w:top w:val="nil"/>
              <w:left w:val="nil"/>
              <w:bottom w:val="single" w:color="auto" w:sz="12" w:space="0"/>
              <w:right w:val="nil"/>
            </w:tcBorders>
            <w:tcMar>
              <w:top w:w="-1" w:type="dxa"/>
              <w:left w:w="-1" w:type="dxa"/>
              <w:bottom w:w="-1" w:type="dxa"/>
              <w:right w:w="-1" w:type="dxa"/>
            </w:tcMar>
            <w:vAlign w:val="center"/>
          </w:tcPr>
          <w:p w14:paraId="7288F3B8">
            <w:pPr>
              <w:snapToGrid w:val="0"/>
              <w:spacing w:line="240" w:lineRule="auto"/>
              <w:ind w:left="0" w:leftChars="0"/>
              <w:jc w:val="center"/>
              <w:rPr>
                <w:rFonts w:hint="eastAsia" w:ascii="宋体" w:hAnsi="宋体" w:cs="宋体"/>
              </w:rPr>
            </w:pPr>
            <w:r>
              <w:rPr>
                <w:rFonts w:hint="eastAsia" w:ascii="宋体" w:hAnsi="宋体" w:cs="宋体"/>
              </w:rPr>
              <w:t>圆形光纤，需要考虑偏振和纵向场</w:t>
            </w:r>
          </w:p>
        </w:tc>
        <w:tc>
          <w:tcPr>
            <w:tcW w:w="1464" w:type="dxa"/>
            <w:tcBorders>
              <w:top w:val="nil"/>
              <w:left w:val="nil"/>
              <w:bottom w:val="single" w:color="auto" w:sz="12" w:space="0"/>
              <w:right w:val="nil"/>
            </w:tcBorders>
            <w:tcMar>
              <w:top w:w="-1" w:type="dxa"/>
              <w:left w:w="-1" w:type="dxa"/>
              <w:bottom w:w="-1" w:type="dxa"/>
              <w:right w:w="-1" w:type="dxa"/>
            </w:tcMar>
            <w:vAlign w:val="center"/>
          </w:tcPr>
          <w:p w14:paraId="0AFAD58E">
            <w:pPr>
              <w:snapToGrid w:val="0"/>
              <w:spacing w:line="240" w:lineRule="auto"/>
              <w:ind w:left="0" w:leftChars="0"/>
              <w:jc w:val="center"/>
              <w:rPr>
                <w:rFonts w:hint="eastAsia" w:ascii="宋体" w:hAnsi="宋体" w:cs="宋体"/>
              </w:rPr>
            </w:pPr>
            <w:r>
              <w:rPr>
                <w:rFonts w:hint="eastAsia" w:ascii="宋体" w:hAnsi="宋体" w:cs="宋体"/>
              </w:rPr>
              <w:t>矢量分析</w:t>
            </w:r>
          </w:p>
        </w:tc>
      </w:tr>
    </w:tbl>
    <w:p w14:paraId="3A3AAABA">
      <w:pPr>
        <w:pStyle w:val="3"/>
        <w:spacing w:before="249" w:after="249"/>
      </w:pPr>
      <w:bookmarkStart w:id="22" w:name="_Toc7737"/>
      <w:r>
        <w:rPr>
          <w:rFonts w:hint="eastAsia"/>
        </w:rPr>
        <w:t>2.8 四透镜系统研究</w:t>
      </w:r>
      <w:bookmarkEnd w:id="22"/>
    </w:p>
    <w:p w14:paraId="77B47B8E">
      <w:pPr>
        <w:pStyle w:val="4"/>
        <w:spacing w:before="156" w:after="156"/>
      </w:pPr>
      <w:bookmarkStart w:id="23" w:name="_Toc23837"/>
      <w:r>
        <w:rPr>
          <w:rFonts w:hint="eastAsia"/>
        </w:rPr>
        <w:t>2.8.1光路研究</w:t>
      </w:r>
      <w:bookmarkEnd w:id="23"/>
    </w:p>
    <w:p w14:paraId="61F4FC8E">
      <w:r>
        <w:drawing>
          <wp:inline distT="0" distB="0" distL="0" distR="0">
            <wp:extent cx="5940425" cy="1471295"/>
            <wp:effectExtent l="0" t="0" r="3175" b="0"/>
            <wp:docPr id="11445286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28674" name="图片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940425" cy="1471295"/>
                    </a:xfrm>
                    <a:prstGeom prst="rect">
                      <a:avLst/>
                    </a:prstGeom>
                    <a:noFill/>
                    <a:ln>
                      <a:noFill/>
                    </a:ln>
                  </pic:spPr>
                </pic:pic>
              </a:graphicData>
            </a:graphic>
          </wp:inline>
        </w:drawing>
      </w:r>
    </w:p>
    <w:p w14:paraId="0E89CB1A">
      <w:pPr>
        <w:pStyle w:val="9"/>
        <w:ind w:left="480"/>
        <w:jc w:val="center"/>
        <w:rPr>
          <w:rFonts w:hint="eastAsia" w:ascii="宋体" w:hAnsi="宋体" w:cs="宋体"/>
          <w:sz w:val="21"/>
          <w:szCs w:val="21"/>
        </w:rPr>
      </w:pPr>
      <w:r>
        <w:rPr>
          <w:rFonts w:hint="eastAsia" w:ascii="宋体" w:hAnsi="宋体" w:cs="宋体"/>
          <w:sz w:val="21"/>
          <w:szCs w:val="21"/>
        </w:rPr>
        <w:t>图</w:t>
      </w:r>
      <w:r>
        <w:rPr>
          <w:rFonts w:cs="Times New Roman"/>
          <w:sz w:val="21"/>
          <w:szCs w:val="21"/>
        </w:rPr>
        <w:t>2-3</w:t>
      </w:r>
      <w:r>
        <w:rPr>
          <w:rFonts w:hint="eastAsia" w:ascii="宋体" w:hAnsi="宋体" w:cs="宋体"/>
          <w:sz w:val="21"/>
          <w:szCs w:val="21"/>
        </w:rPr>
        <w:t>四透镜系统</w:t>
      </w:r>
    </w:p>
    <w:p w14:paraId="57414D0E">
      <w:pPr>
        <w:ind w:firstLine="480" w:firstLineChars="200"/>
      </w:pPr>
      <w:r>
        <w:rPr>
          <w:rFonts w:hint="eastAsia"/>
        </w:rPr>
        <w:t>如图2-3所示，</w:t>
      </w:r>
      <w:r>
        <w:t>四透镜系统是本研究的主要</w:t>
      </w:r>
      <w:r>
        <w:rPr>
          <w:rFonts w:hint="eastAsia"/>
        </w:rPr>
        <w:t>示例</w:t>
      </w:r>
      <w:r>
        <w:t>结构。光束依次通过四片透镜，前级透镜负责准直和整形，后级透镜负责将光束</w:t>
      </w:r>
      <w:r>
        <w:rPr>
          <w:rFonts w:hint="eastAsia"/>
        </w:rPr>
        <w:t>二次准直</w:t>
      </w:r>
      <w:r>
        <w:t>并聚焦到单模光纤端面。系统中的透镜曲率、厚度和空气间隔共同决定等效焦度、光斑尺寸、焦面位置和波前曲率</w:t>
      </w:r>
      <w:r>
        <w:rPr>
          <w:rFonts w:hint="eastAsia"/>
        </w:rPr>
        <w:t>，进而影响耦合效率</w:t>
      </w:r>
      <w:r>
        <w:t>。</w:t>
      </w:r>
    </w:p>
    <w:p w14:paraId="7F35FD28">
      <w:pPr>
        <w:ind w:firstLine="480" w:firstLineChars="200"/>
      </w:pPr>
      <w:r>
        <w:t>在仿真建模中，光源、透镜组和光纤被组织为有序光学元件序列。每个元件具有稳定的</w:t>
      </w:r>
      <w:r>
        <w:rPr>
          <w:rFonts w:hint="eastAsia"/>
        </w:rPr>
        <w:t>序列名</w:t>
      </w:r>
      <w:r>
        <w:t>、位置、姿态和面型参数；光线追迹、复场重建和结果分析均从同一序列读取数据。系统建立后先进行光轴、元件顺序和有效孔径检查，再进入正式计算。</w:t>
      </w:r>
    </w:p>
    <w:p w14:paraId="553DD706">
      <w:pPr>
        <w:ind w:firstLine="480" w:firstLineChars="200"/>
      </w:pPr>
      <w:r>
        <w:t>研究重点不局限于某一组最优参数，而是观察结构参数变化如何通过 q 参数、端面复场和目标模式重叠影响最终效率。这样可以为后续参数扫描、代理建模和 SHAP 解释提供连续、可复现的输入输出关系。</w:t>
      </w:r>
    </w:p>
    <w:p w14:paraId="406EE5CF">
      <w:pPr>
        <w:pStyle w:val="4"/>
        <w:spacing w:before="156" w:after="156"/>
      </w:pPr>
      <w:bookmarkStart w:id="24" w:name="_Toc16013"/>
      <w:r>
        <w:rPr>
          <w:rFonts w:hint="eastAsia"/>
        </w:rPr>
        <w:t>2.8.2物理解释</w:t>
      </w:r>
      <w:bookmarkEnd w:id="24"/>
    </w:p>
    <w:p w14:paraId="79730DDD">
      <w:pPr>
        <w:ind w:firstLine="480" w:firstLineChars="200"/>
      </w:pPr>
      <w:r>
        <w:t>当透镜厚度或曲率半径变化时，系统等效光焦度和传播矩阵发生改变，输出束腰位置与波前曲率随之移动。如果光纤端面未同步调整，入射场会出现轴向离焦或曲率失配，即使光斑中心仍位于光纤轴线上，耦合效率也可能下降。</w:t>
      </w:r>
    </w:p>
    <w:p w14:paraId="4DE7C50E">
      <w:pPr>
        <w:ind w:firstLine="480" w:firstLineChars="200"/>
      </w:pPr>
      <w:r>
        <w:t>当镜间距发生变化时，光束在不同透镜上的入射高度和角度改变，后续透镜接收到的光束状态不再相同。因此空气间隔既可能改变光斑尺寸，也可能改变焦面和相位分布，导致效率曲线呈现非线性甚至局部极值。</w:t>
      </w:r>
    </w:p>
    <w:p w14:paraId="4F7F87F8">
      <w:pPr>
        <w:ind w:firstLine="480" w:firstLineChars="200"/>
      </w:pPr>
      <w:r>
        <w:t>四透镜系统中的参数影响具有耦合性，不能仅用单个透镜焦距变化解释。平台采用“解析基线—复场仿真—参数扫描—SHAP 贡献—物理失配分类”的方式，将机器学习识别出的敏感参数重新对应到尺寸、位置、角度、离焦和曲率等可理解的光学因素。</w:t>
      </w:r>
    </w:p>
    <w:p w14:paraId="6A9025C9">
      <w:pPr>
        <w:ind w:firstLine="480" w:firstLineChars="200"/>
      </w:pPr>
      <w:r>
        <w:rPr>
          <w:rFonts w:hint="eastAsia"/>
        </w:rPr>
        <w:br w:type="page"/>
      </w:r>
    </w:p>
    <w:p w14:paraId="3706710D">
      <w:pPr>
        <w:ind w:firstLine="480" w:firstLineChars="200"/>
      </w:pPr>
    </w:p>
    <w:p w14:paraId="0D2BE22F">
      <w:pPr>
        <w:pStyle w:val="2"/>
        <w:spacing w:before="312" w:after="312"/>
      </w:pPr>
      <w:bookmarkStart w:id="25" w:name="_Toc29011"/>
      <w:r>
        <w:rPr>
          <w:rFonts w:hint="eastAsia"/>
        </w:rPr>
        <w:t>3机器学习与寻优算法</w:t>
      </w:r>
      <w:bookmarkEnd w:id="25"/>
    </w:p>
    <w:p w14:paraId="6790CC1C">
      <w:pPr>
        <w:pStyle w:val="3"/>
        <w:spacing w:before="249" w:after="249"/>
      </w:pPr>
      <w:bookmarkStart w:id="26" w:name="_Toc32621"/>
      <w:r>
        <w:rPr>
          <w:rFonts w:hint="eastAsia"/>
        </w:rPr>
        <w:t>3.1整体设计理念</w:t>
      </w:r>
      <w:bookmarkEnd w:id="26"/>
    </w:p>
    <w:p w14:paraId="38F3405D">
      <w:pPr>
        <w:ind w:firstLine="480" w:firstLineChars="200"/>
      </w:pPr>
      <w:r>
        <w:rPr>
          <w:rFonts w:hint="eastAsia"/>
        </w:rPr>
        <w:t>在激光耦合系统优化过程中，透镜曲率半径、厚度、空气间隔等多个参数会共同影响光斑尺寸、焦面位置以及模式匹配程度，使得参数与耦合效率之间呈现复杂的非线性关系。传统物理仿真方法虽然能够获得高精度结果，但在大规模参数搜索过程中计算成本较高。因此，本项目引入机器学习代理模型，建立光学参数与系统性能之间的快速映射关系。</w:t>
      </w:r>
    </w:p>
    <w:p w14:paraId="66F902BB">
      <w:pPr>
        <w:ind w:firstLine="480" w:firstLineChars="200"/>
      </w:pPr>
      <w:r>
        <w:rPr>
          <w:rFonts w:hint="eastAsia"/>
        </w:rPr>
        <w:t>激光耦合系统优化面临三重困境：参数维度高、单次精确仿真耗时长、结果须具备物理可解释性和工程可制造性。纯穷举仿真不可承受，纯黑箱机器学习缺少物理保证。本方案以分工协作为核心，利用 ABCD/q 物理层提供可解释特征与解析基线；树模型与 BiLSTM 分别处理固定结构与可变结构，完成规律总结与快速预测；贝叶斯优 化与差分进化在廉价代理上做全局搜索，Powell 在昂贵正式仿真上局部精调；准直、机械、孔径硬约束剔除不可制造方案；独立复核最终裁决结果可信度。采用混合寻优，收敛速度快，节省仿真预算。混合寻优与随机搜索收敛对比结果如图n所示。</w:t>
      </w:r>
    </w:p>
    <w:p w14:paraId="6107CFF6">
      <w:pPr>
        <w:ind w:firstLine="480" w:firstLineChars="200"/>
        <w:rPr>
          <w:rFonts w:hint="eastAsia"/>
        </w:rPr>
      </w:pPr>
      <w:r>
        <w:drawing>
          <wp:inline distT="0" distB="0" distL="0" distR="0">
            <wp:extent cx="3733800" cy="2517775"/>
            <wp:effectExtent l="0" t="0" r="0" b="0"/>
            <wp:docPr id="212749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9902" name="图片 1"/>
                    <pic:cNvPicPr>
                      <a:picLocks noChangeAspect="1"/>
                    </pic:cNvPicPr>
                  </pic:nvPicPr>
                  <pic:blipFill>
                    <a:blip r:embed="rId14"/>
                    <a:stretch>
                      <a:fillRect/>
                    </a:stretch>
                  </pic:blipFill>
                  <pic:spPr>
                    <a:xfrm>
                      <a:off x="0" y="0"/>
                      <a:ext cx="3739420" cy="2521859"/>
                    </a:xfrm>
                    <a:prstGeom prst="rect">
                      <a:avLst/>
                    </a:prstGeom>
                  </pic:spPr>
                </pic:pic>
              </a:graphicData>
            </a:graphic>
          </wp:inline>
        </w:drawing>
      </w:r>
    </w:p>
    <w:p w14:paraId="79EA9CB1">
      <w:pPr>
        <w:ind w:firstLine="480" w:firstLineChars="200"/>
      </w:pPr>
      <w:r>
        <w:rPr>
          <w:rFonts w:hint="eastAsia"/>
        </w:rPr>
        <w:t>图n 混合寻优与随机搜索收敛对比结果图</w:t>
      </w:r>
    </w:p>
    <w:p w14:paraId="45F2835C">
      <w:pPr>
        <w:ind w:firstLine="480" w:firstLineChars="200"/>
      </w:pPr>
      <w:r>
        <w:rPr>
          <w:rFonts w:hint="eastAsia"/>
        </w:rPr>
        <w:t>平台寻优整体架构如图n+1所示</w:t>
      </w:r>
    </w:p>
    <w:p w14:paraId="04BF521D">
      <w:pPr>
        <w:ind w:firstLine="480" w:firstLineChars="200"/>
      </w:pPr>
      <w:r>
        <w:drawing>
          <wp:inline distT="0" distB="0" distL="0" distR="0">
            <wp:extent cx="5086350" cy="2168525"/>
            <wp:effectExtent l="0" t="0" r="0" b="3175"/>
            <wp:docPr id="5241012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01282" name="图片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092781" cy="2171577"/>
                    </a:xfrm>
                    <a:prstGeom prst="rect">
                      <a:avLst/>
                    </a:prstGeom>
                    <a:noFill/>
                    <a:ln>
                      <a:noFill/>
                    </a:ln>
                  </pic:spPr>
                </pic:pic>
              </a:graphicData>
            </a:graphic>
          </wp:inline>
        </w:drawing>
      </w:r>
    </w:p>
    <w:p w14:paraId="11E7B08C">
      <w:pPr>
        <w:ind w:firstLine="480" w:firstLineChars="200"/>
        <w:rPr>
          <w:rFonts w:hint="eastAsia"/>
        </w:rPr>
      </w:pPr>
      <w:r>
        <w:rPr>
          <w:rFonts w:hint="eastAsia"/>
        </w:rPr>
        <w:t>图n+1 平台整体寻优架构</w:t>
      </w:r>
    </w:p>
    <w:p w14:paraId="388A2D8F">
      <w:pPr>
        <w:pStyle w:val="3"/>
        <w:spacing w:before="249" w:after="249"/>
      </w:pPr>
      <w:bookmarkStart w:id="27" w:name="_Toc7886"/>
      <w:r>
        <w:rPr>
          <w:rFonts w:hint="eastAsia"/>
        </w:rPr>
        <w:t>3.2 BiLSTM</w:t>
      </w:r>
      <w:bookmarkEnd w:id="27"/>
    </w:p>
    <w:p w14:paraId="28029926">
      <w:pPr>
        <w:pStyle w:val="4"/>
        <w:spacing w:before="156" w:after="156"/>
      </w:pPr>
      <w:bookmarkStart w:id="28" w:name="_Toc27851"/>
      <w:r>
        <w:rPr>
          <w:rFonts w:hint="eastAsia"/>
        </w:rPr>
        <w:t>3.2.1 BiLSTM原理</w:t>
      </w:r>
      <w:bookmarkEnd w:id="28"/>
    </w:p>
    <w:p w14:paraId="06BA0440">
      <w:pPr>
        <w:ind w:firstLine="480" w:firstLineChars="200"/>
      </w:pPr>
      <w:r>
        <w:rPr>
          <w:rFonts w:hint="eastAsia"/>
        </w:rPr>
        <w:t>核心思想为用双向序列处理机制实现上下文信息的特征提取。传统单向循环神经网络（如 LSTM）在计算机芯片上运行，通过单一的时序递推运算处理序列信号，只能捕获当前时间步之前的历史信息。BiLSTM 在时间维度上，利用两个独立的 LSTM 网络分别按正序和逆序对同一序列进行物理编码，从而处理序列的双侧上下文信号。序列本身既是输入数据，也是被双向编码的计算对象，整个特征提取过程在正向与反向的递推运算中完成，如图3-1所示。</w:t>
      </w:r>
    </w:p>
    <w:p w14:paraId="2941BCA1">
      <w:pPr>
        <w:ind w:left="0" w:leftChars="0"/>
      </w:pPr>
      <w:r>
        <w:drawing>
          <wp:inline distT="0" distB="0" distL="114300" distR="114300">
            <wp:extent cx="5939790" cy="3959860"/>
            <wp:effectExtent l="0" t="0" r="3810" b="2540"/>
            <wp:docPr id="6" name="图片 6" descr="178999052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89990528086"/>
                    <pic:cNvPicPr>
                      <a:picLocks noChangeAspect="1"/>
                    </pic:cNvPicPr>
                  </pic:nvPicPr>
                  <pic:blipFill>
                    <a:blip r:embed="rId16"/>
                    <a:stretch>
                      <a:fillRect/>
                    </a:stretch>
                  </pic:blipFill>
                  <pic:spPr>
                    <a:xfrm>
                      <a:off x="0" y="0"/>
                      <a:ext cx="5939790" cy="3959860"/>
                    </a:xfrm>
                    <a:prstGeom prst="rect">
                      <a:avLst/>
                    </a:prstGeom>
                  </pic:spPr>
                </pic:pic>
              </a:graphicData>
            </a:graphic>
          </wp:inline>
        </w:drawing>
      </w:r>
    </w:p>
    <w:p w14:paraId="59EE3ADD">
      <w:pPr>
        <w:pStyle w:val="7"/>
        <w:ind w:firstLine="420" w:firstLineChars="200"/>
        <w:jc w:val="center"/>
        <w:rPr>
          <w:rFonts w:eastAsia="宋体"/>
          <w:sz w:val="21"/>
          <w:szCs w:val="21"/>
        </w:rPr>
      </w:pPr>
      <w:r>
        <w:rPr>
          <w:rFonts w:ascii="宋体" w:hAnsi="宋体" w:eastAsia="宋体"/>
          <w:color w:val="000000"/>
          <w:sz w:val="21"/>
          <w:szCs w:val="21"/>
        </w:rPr>
        <w:t xml:space="preserve">图 </w:t>
      </w:r>
      <w:r>
        <w:rPr>
          <w:rFonts w:ascii="Times New Roman" w:hAnsi="Times New Roman" w:eastAsia="宋体" w:cs="Times New Roman"/>
          <w:color w:val="000000"/>
          <w:sz w:val="21"/>
          <w:szCs w:val="21"/>
        </w:rPr>
        <w:t>3-1 BiLSTM</w:t>
      </w:r>
      <w:r>
        <w:rPr>
          <w:rFonts w:ascii="宋体" w:hAnsi="宋体" w:eastAsia="宋体"/>
          <w:color w:val="000000"/>
          <w:sz w:val="21"/>
          <w:szCs w:val="21"/>
        </w:rPr>
        <w:t xml:space="preserve"> 按正序和逆序进行编码</w:t>
      </w:r>
    </w:p>
    <w:p w14:paraId="235509FA">
      <w:pPr>
        <w:pStyle w:val="4"/>
        <w:spacing w:before="156" w:after="156"/>
      </w:pPr>
      <w:bookmarkStart w:id="29" w:name="_Toc8936"/>
      <w:r>
        <w:rPr>
          <w:rFonts w:hint="eastAsia"/>
        </w:rPr>
        <w:t>3.2.2 光学结构序列表示</w:t>
      </w:r>
      <w:bookmarkEnd w:id="29"/>
    </w:p>
    <w:p w14:paraId="106C7F8F">
      <w:pPr>
        <w:ind w:firstLine="480" w:firstLineChars="200"/>
      </w:pPr>
      <w:r>
        <w:t>传统神经网络通常将输入数据视为相互独立的特征，难以描述具有顺序关系的数据。而在光学系统设计过程中，</w:t>
      </w:r>
      <w:r>
        <w:rPr>
          <w:rFonts w:hint="eastAsia"/>
        </w:rPr>
        <w:t>球面镜</w:t>
      </w:r>
      <w:r>
        <w:t>、</w:t>
      </w:r>
      <w:r>
        <w:rPr>
          <w:rFonts w:hint="eastAsia"/>
        </w:rPr>
        <w:t>非球面</w:t>
      </w:r>
      <w:r>
        <w:t>镜、光阑等光学元件的类型及排列顺序会直接影响光束传播过程，不同元件组合形成的结构序列对应不同的系统性能。因此，本项目将光学系统表示为由多个光学元件组成的有序序列，利用 BiLSTM 网络学习“光学结构序列—系统性能”之间的映射关系，实现候选结构的快速筛选。</w:t>
      </w:r>
    </w:p>
    <w:p w14:paraId="2D664C38">
      <w:pPr>
        <w:ind w:firstLine="480" w:firstLineChars="200"/>
      </w:pPr>
    </w:p>
    <w:p w14:paraId="4886CDD2">
      <w:pPr>
        <w:pStyle w:val="3"/>
        <w:spacing w:before="249" w:after="249"/>
      </w:pPr>
      <w:bookmarkStart w:id="30" w:name="_Toc29442"/>
      <w:r>
        <w:rPr>
          <w:rFonts w:hint="eastAsia"/>
        </w:rPr>
        <w:t>3.3 随机森林与XGBoost</w:t>
      </w:r>
      <w:bookmarkEnd w:id="30"/>
    </w:p>
    <w:p w14:paraId="7692C415">
      <w:pPr>
        <w:pStyle w:val="4"/>
        <w:spacing w:before="156" w:after="156"/>
      </w:pPr>
      <w:bookmarkStart w:id="31" w:name="_Toc29520"/>
      <w:r>
        <w:rPr>
          <w:rFonts w:hint="eastAsia"/>
        </w:rPr>
        <w:t>3.3.1随机森林与XGBoost原理</w:t>
      </w:r>
      <w:bookmarkEnd w:id="31"/>
    </w:p>
    <w:p w14:paraId="77794ED0">
      <w:pPr>
        <w:ind w:firstLine="480" w:firstLineChars="200"/>
      </w:pPr>
      <w:r>
        <w:rPr>
          <w:rFonts w:hint="eastAsia"/>
        </w:rPr>
        <w:t>随机森林核心思想为用集成学习机制实现决策树的群体决策。传统单棵决策树在计算机内存中运行，通过单一的递归划分特征空间来处理结构化数据，容易陷入过拟合。随机森林（Random Forest）在特征空间中，利用Bootstrap重采样和随机特征子空间来构建多棵独立的决策树。数据集与特征子集本身就是计算介质，整个模型训练过程在并行构建多棵树的迭代中完成。</w:t>
      </w:r>
    </w:p>
    <w:p w14:paraId="03D18511">
      <w:pPr>
        <w:ind w:firstLine="480" w:firstLineChars="200"/>
      </w:pPr>
      <w:r>
        <w:t>随机森林（Random Forest，RF）是一种基于集成学习思想的机器学习模型，其核心思想是通过构建多个相互独立的决策树，并对多个模型的预测结果进行融合，提高模型的稳定性和泛化能力。</w:t>
      </w:r>
    </w:p>
    <w:p w14:paraId="17EA8843">
      <w:pPr>
        <w:pStyle w:val="13"/>
        <w:ind w:left="480" w:firstLine="480" w:firstLineChars="200"/>
      </w:pPr>
      <w:r>
        <w:t>在本项目中，随机森林以光学结构参数作为输入：</w:t>
      </w:r>
    </w:p>
    <w:p w14:paraId="1B7A36D4">
      <w:pPr>
        <w:pStyle w:val="7"/>
        <w:tabs>
          <w:tab w:val="center" w:pos="5217"/>
          <w:tab w:val="right" w:pos="8395"/>
        </w:tabs>
        <w:ind w:firstLine="400" w:firstLineChars="200"/>
        <w:rPr>
          <w:rFonts w:eastAsia="宋体"/>
        </w:rPr>
      </w:pPr>
      <w:r>
        <w:rPr>
          <w:rFonts w:hint="eastAsia"/>
          <w:position w:val="-12"/>
        </w:rPr>
        <w:tab/>
      </w:r>
      <w:r>
        <w:rPr>
          <w:position w:val="-12"/>
        </w:rPr>
        <w:object>
          <v:shape id="_x0000_i1025" o:spt="75" type="#_x0000_t75" style="height:18pt;width:114pt;" o:ole="t" filled="f" o:preferrelative="t" stroked="f" coordsize="21600,21600">
            <v:path/>
            <v:fill on="f" focussize="0,0"/>
            <v:stroke on="f" joinstyle="miter"/>
            <v:imagedata r:id="rId18" o:title=""/>
            <o:lock v:ext="edit" aspectratio="t"/>
            <w10:wrap type="none"/>
            <w10:anchorlock/>
          </v:shape>
          <o:OLEObject Type="Embed" ProgID="Equation.DSMT4" ShapeID="_x0000_i1025" DrawAspect="Content" ObjectID="_1468075725" r:id="rId17">
            <o:LockedField>false</o:LockedField>
          </o:OLEObject>
        </w:object>
      </w:r>
      <w:r>
        <w:rPr>
          <w:rFonts w:hint="eastAsia"/>
          <w:position w:val="-12"/>
        </w:rPr>
        <w:tab/>
      </w:r>
    </w:p>
    <w:p w14:paraId="3A96173E">
      <w:pPr>
        <w:pStyle w:val="14"/>
        <w:widowControl/>
        <w:ind w:left="480" w:firstLine="480" w:firstLineChars="200"/>
      </w:pPr>
      <w:r>
        <w:rPr>
          <w:rFonts w:ascii="宋体" w:hAnsi="宋体"/>
          <w:color w:val="000000"/>
        </w:rPr>
        <w:t>其中包括透镜曲率半径、厚度以及镜间距离等参数，以物理仿真得到的耦合效率：</w:t>
      </w:r>
    </w:p>
    <w:p w14:paraId="2B067027">
      <w:pPr>
        <w:widowControl/>
        <w:ind w:firstLine="480" w:firstLineChars="200"/>
        <w:jc w:val="center"/>
      </w:pPr>
      <w:r>
        <w:rPr>
          <w:position w:val="-10"/>
        </w:rPr>
        <w:object>
          <v:shape id="_x0000_i1026" o:spt="75" type="#_x0000_t75" style="height:13pt;width:29pt;" o:ole="t" filled="f" o:preferrelative="t" stroked="f" coordsize="21600,21600">
            <v:path/>
            <v:fill on="f" focussize="0,0"/>
            <v:stroke on="f" joinstyle="miter"/>
            <v:imagedata r:id="rId20" o:title=""/>
            <o:lock v:ext="edit" aspectratio="t"/>
            <w10:wrap type="none"/>
            <w10:anchorlock/>
          </v:shape>
          <o:OLEObject Type="Embed" ProgID="Equation.DSMT4" ShapeID="_x0000_i1026" DrawAspect="Content" ObjectID="_1468075726" r:id="rId19">
            <o:LockedField>false</o:LockedField>
          </o:OLEObject>
        </w:object>
      </w:r>
    </w:p>
    <w:p w14:paraId="31095EB6">
      <w:pPr>
        <w:pStyle w:val="14"/>
        <w:widowControl/>
        <w:ind w:left="480" w:firstLine="480" w:firstLineChars="200"/>
      </w:pPr>
      <w:r>
        <w:rPr>
          <w:rFonts w:ascii="宋体" w:hAnsi="宋体"/>
          <w:color w:val="000000"/>
        </w:rPr>
        <w:t>作为预测目标。</w:t>
      </w:r>
    </w:p>
    <w:p w14:paraId="4F833E17">
      <w:pPr>
        <w:pStyle w:val="14"/>
        <w:widowControl/>
        <w:ind w:left="480" w:firstLine="480" w:firstLineChars="200"/>
      </w:pPr>
      <w:r>
        <w:rPr>
          <w:rFonts w:ascii="宋体" w:hAnsi="宋体"/>
          <w:color w:val="000000"/>
        </w:rPr>
        <w:t>模型通过 Bootstrap 重采样生成多个训练子集，并分别训练多棵决策树。对于新的参数组合，各决策树分别给出预测结果，最终通过平均方式获得系统耦合效率：</w:t>
      </w:r>
    </w:p>
    <w:p w14:paraId="78F1C740">
      <w:pPr>
        <w:widowControl/>
        <w:ind w:firstLine="480" w:firstLineChars="200"/>
        <w:jc w:val="center"/>
      </w:pPr>
      <w:r>
        <w:rPr>
          <w:rFonts w:hint="eastAsia" w:ascii="宋体" w:hAnsi="宋体" w:cs="宋体"/>
          <w:kern w:val="0"/>
          <w:position w:val="-28"/>
          <w:lang w:bidi="ar"/>
        </w:rPr>
        <w:object>
          <v:shape id="_x0000_i1027" o:spt="75" type="#_x0000_t75" style="height:34pt;width:78.95pt;" o:ole="t" filled="f" o:preferrelative="t" stroked="f" coordsize="21600,21600">
            <v:path/>
            <v:fill on="f" focussize="0,0"/>
            <v:stroke on="f" joinstyle="miter"/>
            <v:imagedata r:id="rId22" o:title=""/>
            <o:lock v:ext="edit" aspectratio="t"/>
            <w10:wrap type="none"/>
            <w10:anchorlock/>
          </v:shape>
          <o:OLEObject Type="Embed" ProgID="Equation.DSMT4" ShapeID="_x0000_i1027" DrawAspect="Content" ObjectID="_1468075727" r:id="rId21">
            <o:LockedField>false</o:LockedField>
          </o:OLEObject>
        </w:object>
      </w:r>
    </w:p>
    <w:p w14:paraId="6E75ECB7">
      <w:pPr>
        <w:ind w:firstLine="480" w:firstLineChars="200"/>
      </w:pPr>
      <w:r>
        <w:rPr>
          <w:rFonts w:ascii="宋体" w:hAnsi="宋体"/>
          <w:color w:val="000000"/>
        </w:rPr>
        <w:t>由于不同决策树之间具有一定差异，随机森林能够降低单个模型预测结果的随机波动，提高预测稳定性。因此，随机森林主要用于建立光学参数与耦合效率之间的基础代理模型，为后续优化提供快速预测能力。</w:t>
      </w:r>
      <w:r>
        <w:rPr>
          <w:rFonts w:hint="eastAsia"/>
        </w:rPr>
        <w:t xml:space="preserve"> </w:t>
      </w:r>
      <w:r>
        <w:rPr>
          <w:rFonts w:hint="eastAsia"/>
        </w:rPr>
        <w:drawing>
          <wp:inline distT="0" distB="0" distL="114300" distR="114300">
            <wp:extent cx="5601970" cy="2586990"/>
            <wp:effectExtent l="0" t="0" r="6350" b="3810"/>
            <wp:docPr id="2" name="图片 2" descr="178999070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89990703884"/>
                    <pic:cNvPicPr>
                      <a:picLocks noChangeAspect="1"/>
                    </pic:cNvPicPr>
                  </pic:nvPicPr>
                  <pic:blipFill>
                    <a:blip r:embed="rId23"/>
                    <a:srcRect l="-397" t="8116" r="397" b="-461"/>
                    <a:stretch>
                      <a:fillRect/>
                    </a:stretch>
                  </pic:blipFill>
                  <pic:spPr>
                    <a:xfrm>
                      <a:off x="0" y="0"/>
                      <a:ext cx="5601970" cy="2586990"/>
                    </a:xfrm>
                    <a:prstGeom prst="rect">
                      <a:avLst/>
                    </a:prstGeom>
                  </pic:spPr>
                </pic:pic>
              </a:graphicData>
            </a:graphic>
          </wp:inline>
        </w:drawing>
      </w:r>
      <w:r>
        <w:rPr>
          <w:rFonts w:hint="eastAsia"/>
        </w:rPr>
        <w:t xml:space="preserve">      </w:t>
      </w:r>
    </w:p>
    <w:p w14:paraId="3D071C18">
      <w:pPr>
        <w:ind w:firstLine="480" w:firstLineChars="200"/>
      </w:pPr>
      <w:r>
        <w:rPr>
          <w:rFonts w:hint="eastAsia"/>
        </w:rPr>
        <w:t>XGBoost核心思想为用串行加法模型与二阶梯度优化实现偏差的持续降低。随机森林在计算机内存中运行，通过并行构建多棵独立决策树并投票来降低方差。XGBoost 在函数空间中，利用前向分步算法串行拟合残差，并引入二阶泰勒展开与正则化项来处理损失函数。目标函数的梯度信息与树的叶子权重本身就是计算介质，整个模型优化过程在贪心算法寻找最佳分裂点的迭代中完成。</w:t>
      </w:r>
    </w:p>
    <w:p w14:paraId="54CDA90C">
      <w:pPr>
        <w:ind w:firstLine="480" w:firstLineChars="200"/>
      </w:pPr>
      <w:r>
        <w:t>XGBoost（Extreme Gradient Boosting）是一种基于梯度提升思想的集成学习模型。与随机森林通过并行构建多个独立决策树不同，XGBoost采用串行训练方式，使后续生成的决策树不断学习前一阶段模型产生的预测误差，从而逐步提高模型精度。</w:t>
      </w:r>
    </w:p>
    <w:p w14:paraId="70DB1383">
      <w:pPr>
        <w:pStyle w:val="14"/>
        <w:widowControl/>
        <w:ind w:left="480" w:firstLine="480" w:firstLineChars="200"/>
        <w:rPr>
          <w:rFonts w:hint="eastAsia" w:ascii="宋体" w:hAnsi="宋体"/>
          <w:color w:val="000000"/>
        </w:rPr>
      </w:pPr>
      <w:r>
        <w:rPr>
          <w:rFonts w:ascii="宋体" w:hAnsi="宋体"/>
          <w:color w:val="000000"/>
        </w:rPr>
        <w:t>其基本过程可以表示为：</w:t>
      </w:r>
    </w:p>
    <w:p w14:paraId="1F8886D9">
      <w:pPr>
        <w:pStyle w:val="14"/>
        <w:widowControl/>
        <w:ind w:left="480" w:firstLine="480" w:firstLineChars="200"/>
        <w:jc w:val="center"/>
      </w:pPr>
      <w:r>
        <w:rPr>
          <w:position w:val="-12"/>
        </w:rPr>
        <w:object>
          <v:shape id="_x0000_i1028" o:spt="75" type="#_x0000_t75" style="height:18pt;width:155pt;" o:ole="t" filled="f" o:preferrelative="t" stroked="f" coordsize="21600,21600">
            <v:path/>
            <v:fill on="f" focussize="0,0"/>
            <v:stroke on="f" joinstyle="miter"/>
            <v:imagedata r:id="rId25" o:title=""/>
            <o:lock v:ext="edit" aspectratio="t"/>
            <w10:wrap type="none"/>
            <w10:anchorlock/>
          </v:shape>
          <o:OLEObject Type="Embed" ProgID="Equation.DSMT4" ShapeID="_x0000_i1028" DrawAspect="Content" ObjectID="_1468075728" r:id="rId24">
            <o:LockedField>false</o:LockedField>
          </o:OLEObject>
        </w:object>
      </w:r>
    </w:p>
    <w:p w14:paraId="53A9E8DB">
      <w:pPr>
        <w:pStyle w:val="14"/>
        <w:widowControl/>
        <w:ind w:left="480" w:firstLine="480" w:firstLineChars="200"/>
        <w:rPr>
          <w:rFonts w:hint="eastAsia" w:ascii="宋体" w:hAnsi="宋体"/>
          <w:color w:val="000000"/>
        </w:rPr>
      </w:pPr>
      <w:r>
        <w:rPr>
          <w:rFonts w:ascii="宋体" w:hAnsi="宋体"/>
          <w:color w:val="000000"/>
        </w:rPr>
        <w:t>其中每个：</w:t>
      </w:r>
      <w:r>
        <w:rPr>
          <w:position w:val="-12"/>
        </w:rPr>
        <w:object>
          <v:shape id="_x0000_i1029" o:spt="75" type="#_x0000_t75" style="height:18pt;width:34pt;" o:ole="t" filled="f" o:preferrelative="t" stroked="f" coordsize="21600,21600">
            <v:path/>
            <v:fill on="f" focussize="0,0"/>
            <v:stroke on="f" joinstyle="miter"/>
            <v:imagedata r:id="rId27" o:title=""/>
            <o:lock v:ext="edit" aspectratio="t"/>
            <w10:wrap type="none"/>
            <w10:anchorlock/>
          </v:shape>
          <o:OLEObject Type="Embed" ProgID="Equation.DSMT4" ShapeID="_x0000_i1029" DrawAspect="Content" ObjectID="_1468075729" r:id="rId26">
            <o:LockedField>false</o:LockedField>
          </o:OLEObject>
        </w:object>
      </w:r>
      <w:r>
        <w:rPr>
          <w:rFonts w:ascii="宋体" w:hAnsi="宋体"/>
          <w:color w:val="000000"/>
        </w:rPr>
        <w:t>表示一棵决策树。</w:t>
      </w:r>
    </w:p>
    <w:p w14:paraId="3856F1FA">
      <w:pPr>
        <w:pStyle w:val="14"/>
        <w:widowControl/>
        <w:ind w:left="480" w:firstLine="480" w:firstLineChars="200"/>
      </w:pPr>
      <w:r>
        <w:rPr>
          <w:rFonts w:ascii="宋体" w:hAnsi="宋体"/>
          <w:color w:val="000000"/>
        </w:rPr>
        <w:t>在每一次迭代过程中，新的决策树主要用于拟合当前模型的残差：</w:t>
      </w:r>
    </w:p>
    <w:p w14:paraId="7A8DC42E">
      <w:pPr>
        <w:pStyle w:val="14"/>
        <w:widowControl/>
        <w:ind w:left="480" w:firstLine="480" w:firstLineChars="200"/>
        <w:jc w:val="center"/>
      </w:pPr>
      <w:r>
        <w:rPr>
          <w:position w:val="-10"/>
        </w:rPr>
        <w:object>
          <v:shape id="_x0000_i1030" o:spt="75" type="#_x0000_t75" style="height:16pt;width:46pt;" o:ole="t" filled="f" o:preferrelative="t" stroked="f" coordsize="21600,21600">
            <v:path/>
            <v:fill on="f" focussize="0,0"/>
            <v:stroke on="f" joinstyle="miter"/>
            <v:imagedata r:id="rId29" o:title=""/>
            <o:lock v:ext="edit" aspectratio="t"/>
            <w10:wrap type="none"/>
            <w10:anchorlock/>
          </v:shape>
          <o:OLEObject Type="Embed" ProgID="Equation.DSMT4" ShapeID="_x0000_i1030" DrawAspect="Content" ObjectID="_1468075730" r:id="rId28">
            <o:LockedField>false</o:LockedField>
          </o:OLEObject>
        </w:object>
      </w:r>
    </w:p>
    <w:p w14:paraId="2BAC1A0A">
      <w:pPr>
        <w:pStyle w:val="14"/>
        <w:widowControl/>
        <w:ind w:left="480" w:firstLine="480" w:firstLineChars="200"/>
      </w:pPr>
      <w:r>
        <w:rPr>
          <w:rFonts w:ascii="宋体" w:hAnsi="宋体"/>
          <w:color w:val="000000"/>
        </w:rPr>
        <w:t>通过不断修正误差，使模型预测结果逐渐接近真实值。</w:t>
      </w:r>
    </w:p>
    <w:p w14:paraId="046FB8E5">
      <w:pPr>
        <w:pStyle w:val="14"/>
        <w:widowControl/>
        <w:ind w:left="480" w:firstLine="480" w:firstLineChars="200"/>
      </w:pPr>
      <w:r>
        <w:rPr>
          <w:rFonts w:ascii="宋体" w:hAnsi="宋体"/>
          <w:color w:val="000000"/>
        </w:rPr>
        <w:t>同时</w:t>
      </w:r>
      <w:r>
        <w:rPr>
          <w:color w:val="000000"/>
        </w:rPr>
        <w:t>，XGBoost</w:t>
      </w:r>
      <w:r>
        <w:rPr>
          <w:rFonts w:ascii="宋体" w:hAnsi="宋体"/>
          <w:color w:val="000000"/>
        </w:rPr>
        <w:t>引入二阶梯度优化和正则化约束：</w:t>
      </w:r>
    </w:p>
    <w:p w14:paraId="4D14D2B4">
      <w:pPr>
        <w:widowControl/>
        <w:ind w:firstLine="480" w:firstLineChars="200"/>
        <w:jc w:val="center"/>
      </w:pPr>
      <w:r>
        <w:rPr>
          <w:rFonts w:hint="eastAsia" w:ascii="宋体" w:hAnsi="宋体" w:cs="宋体"/>
          <w:kern w:val="0"/>
          <w:position w:val="-28"/>
          <w:lang w:bidi="ar"/>
        </w:rPr>
        <w:object>
          <v:shape id="_x0000_i1031" o:spt="75" type="#_x0000_t75" style="height:34pt;width:138pt;" o:ole="t" filled="f" o:preferrelative="t" stroked="f" coordsize="21600,21600">
            <v:path/>
            <v:fill on="f" focussize="0,0"/>
            <v:stroke on="f" joinstyle="miter"/>
            <v:imagedata r:id="rId31" o:title=""/>
            <o:lock v:ext="edit" aspectratio="t"/>
            <w10:wrap type="none"/>
            <w10:anchorlock/>
          </v:shape>
          <o:OLEObject Type="Embed" ProgID="Equation.DSMT4" ShapeID="_x0000_i1031" DrawAspect="Content" ObjectID="_1468075731" r:id="rId30">
            <o:LockedField>false</o:LockedField>
          </o:OLEObject>
        </w:object>
      </w:r>
    </w:p>
    <w:p w14:paraId="32E40EFF">
      <w:pPr>
        <w:pStyle w:val="14"/>
        <w:widowControl/>
        <w:ind w:left="480" w:firstLine="480" w:firstLineChars="200"/>
        <w:rPr>
          <w:rFonts w:hint="eastAsia" w:ascii="宋体" w:hAnsi="宋体"/>
          <w:color w:val="000000"/>
        </w:rPr>
      </w:pPr>
      <w:r>
        <w:rPr>
          <w:rFonts w:ascii="宋体" w:hAnsi="宋体"/>
          <w:color w:val="000000"/>
        </w:rPr>
        <w:t>利用损失函数的一阶梯度和二阶梯度信息，提高模型对复杂非线性关系的拟合能力，并通过控制模型复杂度降低过拟合风险</w:t>
      </w:r>
      <w:r>
        <w:rPr>
          <w:rFonts w:hint="eastAsia" w:ascii="宋体" w:hAnsi="宋体"/>
          <w:color w:val="000000"/>
        </w:rPr>
        <w:t>，</w:t>
      </w:r>
      <w:r>
        <w:rPr>
          <w:rFonts w:ascii="宋体" w:hAnsi="宋体"/>
          <w:color w:val="000000"/>
        </w:rPr>
        <w:t>相比随机森林具有更高的拟合精度和更强的泛化能力。</w:t>
      </w:r>
      <w:r>
        <w:rPr>
          <w:rFonts w:hint="eastAsia" w:ascii="宋体" w:hAnsi="宋体"/>
          <w:color w:val="000000"/>
        </w:rPr>
        <w:t>随机森林与XGBoost的泛化能力比较图如图n所示</w:t>
      </w:r>
    </w:p>
    <w:p w14:paraId="6EEE7953">
      <w:pPr>
        <w:pStyle w:val="14"/>
        <w:widowControl/>
        <w:ind w:left="480" w:firstLine="480" w:firstLineChars="200"/>
      </w:pPr>
      <w:r>
        <w:drawing>
          <wp:inline distT="0" distB="0" distL="0" distR="0">
            <wp:extent cx="5940425" cy="2271395"/>
            <wp:effectExtent l="0" t="0" r="3175" b="0"/>
            <wp:docPr id="13186088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08878" name="图片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940425" cy="2271395"/>
                    </a:xfrm>
                    <a:prstGeom prst="rect">
                      <a:avLst/>
                    </a:prstGeom>
                    <a:noFill/>
                    <a:ln>
                      <a:noFill/>
                    </a:ln>
                  </pic:spPr>
                </pic:pic>
              </a:graphicData>
            </a:graphic>
          </wp:inline>
        </w:drawing>
      </w:r>
    </w:p>
    <w:p w14:paraId="6086DCCB">
      <w:pPr>
        <w:pStyle w:val="14"/>
        <w:widowControl/>
        <w:ind w:left="480" w:firstLine="480" w:firstLineChars="200"/>
        <w:rPr>
          <w:rFonts w:hint="eastAsia"/>
        </w:rPr>
      </w:pPr>
      <w:r>
        <w:rPr>
          <w:rFonts w:hint="eastAsia"/>
        </w:rPr>
        <w:t>图n 随机森林与XGBoost泛化能力比较</w:t>
      </w:r>
    </w:p>
    <w:p w14:paraId="72200AAD">
      <w:pPr>
        <w:pStyle w:val="4"/>
        <w:spacing w:before="156" w:after="156"/>
      </w:pPr>
      <w:bookmarkStart w:id="32" w:name="_Toc2241"/>
      <w:r>
        <w:t>3.3.2 物理融合</w:t>
      </w:r>
      <w:bookmarkEnd w:id="32"/>
    </w:p>
    <w:p w14:paraId="524677F9">
      <w:pPr>
        <w:ind w:firstLine="480" w:firstLineChars="200"/>
        <w:rPr>
          <w:rFonts w:hint="eastAsia" w:ascii="宋体" w:hAnsi="宋体" w:cs="宋体"/>
          <w:color w:val="000000"/>
        </w:rPr>
      </w:pPr>
      <w:r>
        <w:rPr>
          <w:rFonts w:ascii="宋体" w:hAnsi="宋体" w:cs="宋体"/>
          <w:color w:val="000000"/>
        </w:rPr>
        <w:t>为提高机器学习模型在复杂光学系统中的预测可靠性，本研究并非完全依赖数据驱动方法，而是将光学物理模型融入机器学习流程。其中，随机森林利用物理仿真产生的样本数据建立参数与耦合效率之间的非线性映射关系，作为基础代理模型；进一步地，XGBoost通过学习高精度仿真结果与解析物理模型之间的残差关系，实现对传统物理模型误差的补偿，从而提高模型对复杂光学系统性能的预测能力。</w:t>
      </w:r>
      <w:r>
        <w:rPr>
          <w:rFonts w:hint="eastAsia" w:ascii="宋体" w:hAnsi="宋体" w:cs="宋体"/>
          <w:color w:val="000000"/>
        </w:rPr>
        <w:t>如图3-3所示。</w:t>
      </w:r>
    </w:p>
    <w:p w14:paraId="74755F4D">
      <w:pPr>
        <w:pStyle w:val="9"/>
        <w:ind w:left="480"/>
      </w:pPr>
      <w:r>
        <w:drawing>
          <wp:inline distT="0" distB="0" distL="114300" distR="114300">
            <wp:extent cx="5675630" cy="3288030"/>
            <wp:effectExtent l="0" t="0" r="1270" b="762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3"/>
                    <a:stretch>
                      <a:fillRect/>
                    </a:stretch>
                  </pic:blipFill>
                  <pic:spPr>
                    <a:xfrm>
                      <a:off x="0" y="0"/>
                      <a:ext cx="5675630" cy="3288030"/>
                    </a:xfrm>
                    <a:prstGeom prst="rect">
                      <a:avLst/>
                    </a:prstGeom>
                    <a:noFill/>
                    <a:ln>
                      <a:noFill/>
                    </a:ln>
                  </pic:spPr>
                </pic:pic>
              </a:graphicData>
            </a:graphic>
          </wp:inline>
        </w:drawing>
      </w:r>
    </w:p>
    <w:p w14:paraId="55D5F0A0">
      <w:pPr>
        <w:pStyle w:val="9"/>
        <w:ind w:left="480"/>
        <w:jc w:val="center"/>
        <w:rPr>
          <w:rFonts w:hint="eastAsia" w:ascii="宋体" w:hAnsi="宋体"/>
          <w:color w:val="000000"/>
          <w:sz w:val="21"/>
          <w:szCs w:val="21"/>
        </w:rPr>
      </w:pPr>
      <w:r>
        <w:rPr>
          <w:rFonts w:hint="eastAsia" w:ascii="宋体" w:hAnsi="宋体"/>
          <w:color w:val="000000"/>
          <w:sz w:val="21"/>
          <w:szCs w:val="21"/>
        </w:rPr>
        <w:t>图</w:t>
      </w:r>
      <w:r>
        <w:rPr>
          <w:rFonts w:cs="Times New Roman"/>
          <w:color w:val="000000"/>
          <w:sz w:val="21"/>
          <w:szCs w:val="21"/>
        </w:rPr>
        <w:t>3-3</w:t>
      </w:r>
      <w:r>
        <w:rPr>
          <w:rFonts w:hint="eastAsia" w:ascii="宋体" w:hAnsi="宋体"/>
          <w:color w:val="000000"/>
          <w:sz w:val="21"/>
          <w:szCs w:val="21"/>
        </w:rPr>
        <w:t>传统机器学习与物理残差学习对比</w:t>
      </w:r>
    </w:p>
    <w:p w14:paraId="0B7D1A72">
      <w:pPr>
        <w:pStyle w:val="14"/>
        <w:widowControl/>
        <w:ind w:left="480" w:firstLine="480" w:firstLineChars="200"/>
      </w:pPr>
      <w:r>
        <w:rPr>
          <w:rFonts w:ascii="宋体" w:hAnsi="宋体"/>
          <w:color w:val="000000"/>
        </w:rPr>
        <w:t>为了提高机器学习模型在光学系统中的可靠性，本项目并非完全依赖数据驱动方法，而是将光学物理模型融入机器学习过程。</w:t>
      </w:r>
    </w:p>
    <w:p w14:paraId="596C459A">
      <w:pPr>
        <w:ind w:firstLine="480" w:firstLineChars="200"/>
      </w:pPr>
      <w:r>
        <w:t>随机森林利用：</w:t>
      </w:r>
    </w:p>
    <w:p w14:paraId="29B71C02">
      <w:pPr>
        <w:ind w:firstLine="480" w:firstLineChars="200"/>
      </w:pPr>
      <w:r>
        <w:t>物理仿真数据→机器学习模型</w:t>
      </w:r>
    </w:p>
    <w:p w14:paraId="70BA4440">
      <w:pPr>
        <w:ind w:firstLine="480" w:firstLineChars="200"/>
      </w:pPr>
      <w:r>
        <w:t>学习光学参数与耦合效率之间的映射关系，建立基础预测模型。</w:t>
      </w:r>
    </w:p>
    <w:p w14:paraId="34D94F0D">
      <w:pPr>
        <w:ind w:firstLine="480" w:firstLineChars="200"/>
      </w:pPr>
      <w:r>
        <w:t>进一步地，XGBoost采用物理残差学习方法：</w:t>
      </w:r>
    </w:p>
    <w:p w14:paraId="0FBA6CAF">
      <w:pPr>
        <w:ind w:firstLine="480" w:firstLineChars="200"/>
      </w:pPr>
      <w:r>
        <w:t>首先利用理论光学模型计算：</w:t>
      </w:r>
    </w:p>
    <w:p w14:paraId="7DE82992">
      <w:pPr>
        <w:pStyle w:val="14"/>
        <w:widowControl/>
        <w:ind w:left="480" w:firstLine="480" w:firstLineChars="200"/>
        <w:jc w:val="center"/>
      </w:pPr>
      <w:r>
        <w:rPr>
          <w:position w:val="-14"/>
        </w:rPr>
        <w:object>
          <v:shape id="_x0000_i1032" o:spt="75" type="#_x0000_t75" style="height:19pt;width:31pt;" o:ole="t" filled="f" o:preferrelative="t" stroked="f" coordsize="21600,21600">
            <v:path/>
            <v:fill on="f" focussize="0,0"/>
            <v:stroke on="f" joinstyle="miter"/>
            <v:imagedata r:id="rId35" o:title=""/>
            <o:lock v:ext="edit" aspectratio="t"/>
            <w10:wrap type="none"/>
            <w10:anchorlock/>
          </v:shape>
          <o:OLEObject Type="Embed" ProgID="Equation.DSMT4" ShapeID="_x0000_i1032" DrawAspect="Content" ObjectID="_1468075732" r:id="rId34">
            <o:LockedField>false</o:LockedField>
          </o:OLEObject>
        </w:object>
      </w:r>
    </w:p>
    <w:p w14:paraId="4E8FC87D">
      <w:pPr>
        <w:pStyle w:val="14"/>
        <w:widowControl/>
        <w:ind w:left="480" w:firstLine="480" w:firstLineChars="200"/>
      </w:pPr>
      <w:r>
        <w:rPr>
          <w:rFonts w:ascii="宋体" w:hAnsi="宋体"/>
          <w:color w:val="000000"/>
        </w:rPr>
        <w:t>再计算高精度仿真结果与理论结果之间的差异：</w:t>
      </w:r>
    </w:p>
    <w:p w14:paraId="7D0B4663">
      <w:pPr>
        <w:widowControl/>
        <w:ind w:firstLine="480" w:firstLineChars="200"/>
        <w:jc w:val="center"/>
      </w:pPr>
      <w:r>
        <w:rPr>
          <w:rFonts w:hint="eastAsia" w:ascii="宋体" w:hAnsi="宋体" w:cs="宋体"/>
          <w:kern w:val="0"/>
          <w:position w:val="-14"/>
          <w:lang w:bidi="ar"/>
        </w:rPr>
        <w:object>
          <v:shape id="_x0000_i1033" o:spt="75" type="#_x0000_t75" style="height:19pt;width:106pt;" o:ole="t" filled="f" o:preferrelative="t" stroked="f" coordsize="21600,21600">
            <v:path/>
            <v:fill on="f" focussize="0,0"/>
            <v:stroke on="f" joinstyle="miter"/>
            <v:imagedata r:id="rId37" o:title=""/>
            <o:lock v:ext="edit" aspectratio="t"/>
            <w10:wrap type="none"/>
            <w10:anchorlock/>
          </v:shape>
          <o:OLEObject Type="Embed" ProgID="Equation.DSMT4" ShapeID="_x0000_i1033" DrawAspect="Content" ObjectID="_1468075733" r:id="rId36">
            <o:LockedField>false</o:LockedField>
          </o:OLEObject>
        </w:object>
      </w:r>
    </w:p>
    <w:p w14:paraId="34984225">
      <w:pPr>
        <w:pStyle w:val="14"/>
        <w:widowControl/>
        <w:ind w:left="480" w:firstLine="480" w:firstLineChars="200"/>
      </w:pPr>
      <w:r>
        <w:rPr>
          <w:rFonts w:ascii="宋体" w:hAnsi="宋体"/>
          <w:color w:val="000000"/>
        </w:rPr>
        <w:t>随后利用</w:t>
      </w:r>
      <w:r>
        <w:rPr>
          <w:color w:val="000000"/>
        </w:rPr>
        <w:t xml:space="preserve"> XGBoost</w:t>
      </w:r>
      <w:r>
        <w:rPr>
          <w:rFonts w:ascii="宋体" w:hAnsi="宋体"/>
          <w:color w:val="000000"/>
        </w:rPr>
        <w:t xml:space="preserve"> 学习：</w:t>
      </w:r>
    </w:p>
    <w:p w14:paraId="502E5AC9">
      <w:pPr>
        <w:pStyle w:val="14"/>
        <w:widowControl/>
        <w:ind w:left="480" w:firstLine="480" w:firstLineChars="200"/>
        <w:jc w:val="center"/>
      </w:pPr>
      <w:r>
        <w:rPr>
          <w:position w:val="-10"/>
        </w:rPr>
        <w:object>
          <v:shape id="_x0000_i1034" o:spt="75" type="#_x0000_t75" style="height:16pt;width:46pt;" o:ole="t" filled="f" o:preferrelative="t" stroked="f" coordsize="21600,21600">
            <v:path/>
            <v:fill on="f" focussize="0,0"/>
            <v:stroke on="f" joinstyle="miter"/>
            <v:imagedata r:id="rId39" o:title=""/>
            <o:lock v:ext="edit" aspectratio="t"/>
            <w10:wrap type="none"/>
            <w10:anchorlock/>
          </v:shape>
          <o:OLEObject Type="Embed" ProgID="Equation.DSMT4" ShapeID="_x0000_i1034" DrawAspect="Content" ObjectID="_1468075734" r:id="rId38">
            <o:LockedField>false</o:LockedField>
          </o:OLEObject>
        </w:object>
      </w:r>
    </w:p>
    <w:p w14:paraId="1D5DA697">
      <w:pPr>
        <w:pStyle w:val="14"/>
        <w:widowControl/>
        <w:ind w:left="480" w:firstLine="480" w:firstLineChars="200"/>
      </w:pPr>
      <w:r>
        <w:rPr>
          <w:rFonts w:ascii="宋体" w:hAnsi="宋体"/>
          <w:color w:val="000000"/>
        </w:rPr>
        <w:t>最终得到：</w:t>
      </w:r>
    </w:p>
    <w:p w14:paraId="2CCCB2F7">
      <w:pPr>
        <w:pStyle w:val="14"/>
        <w:widowControl/>
        <w:ind w:left="480" w:firstLine="480" w:firstLineChars="200"/>
        <w:jc w:val="center"/>
      </w:pPr>
      <w:r>
        <w:rPr>
          <w:position w:val="-14"/>
        </w:rPr>
        <w:object>
          <v:shape id="_x0000_i1035" o:spt="75" type="#_x0000_t75" style="height:19pt;width:125pt;" o:ole="t" filled="f" o:preferrelative="t" stroked="f" coordsize="21600,21600">
            <v:path/>
            <v:fill on="f" focussize="0,0"/>
            <v:stroke on="f" joinstyle="miter"/>
            <v:imagedata r:id="rId41" o:title=""/>
            <o:lock v:ext="edit" aspectratio="t"/>
            <w10:wrap type="none"/>
            <w10:anchorlock/>
          </v:shape>
          <o:OLEObject Type="Embed" ProgID="Equation.DSMT4" ShapeID="_x0000_i1035" DrawAspect="Content" ObjectID="_1468075735" r:id="rId40">
            <o:LockedField>false</o:LockedField>
          </o:OLEObject>
        </w:object>
      </w:r>
    </w:p>
    <w:p w14:paraId="43FA8BD7">
      <w:pPr>
        <w:pStyle w:val="14"/>
        <w:widowControl/>
        <w:ind w:left="480" w:firstLine="480" w:firstLineChars="200"/>
      </w:pPr>
      <w:r>
        <w:rPr>
          <w:rFonts w:ascii="宋体" w:hAnsi="宋体"/>
          <w:color w:val="000000"/>
        </w:rPr>
        <w:t>通过这种方式，物理模型提供基础规律，机器学习负责补偿复杂因素造成的误差，提高预测精度。</w:t>
      </w:r>
    </w:p>
    <w:p w14:paraId="7DD39656">
      <w:pPr>
        <w:pStyle w:val="3"/>
        <w:spacing w:before="249" w:after="249"/>
      </w:pPr>
      <w:bookmarkStart w:id="33" w:name="_Toc3279"/>
      <w:r>
        <w:rPr>
          <w:rFonts w:hint="eastAsia"/>
        </w:rPr>
        <w:t>3.4寻优算法</w:t>
      </w:r>
      <w:bookmarkEnd w:id="33"/>
    </w:p>
    <w:p w14:paraId="393B5C46">
      <w:pPr>
        <w:pStyle w:val="4"/>
        <w:spacing w:before="156" w:after="156"/>
      </w:pPr>
      <w:bookmarkStart w:id="34" w:name="_Toc23865"/>
      <w:r>
        <w:rPr>
          <w:rFonts w:hint="eastAsia"/>
        </w:rPr>
        <w:t>3.4.1贝叶斯优化和差分进化算法原理</w:t>
      </w:r>
      <w:bookmarkEnd w:id="34"/>
    </w:p>
    <w:p w14:paraId="354FCD29">
      <w:pPr>
        <w:ind w:firstLine="480" w:firstLineChars="200"/>
      </w:pPr>
      <w:r>
        <w:rPr>
          <w:rFonts w:ascii="宋体" w:hAnsi="宋体"/>
          <w:color w:val="000000"/>
        </w:rPr>
        <w:t>贝叶斯优化（Bayesian Optimization，BO）是一种基于概率模型的智能优化算法，其核心思想是利用已有计算结果建立目标函数的代理模型，并根据预测结果和不确定性选择下一次最值得计算的参数位置。</w:t>
      </w:r>
    </w:p>
    <w:p w14:paraId="517E6EAB">
      <w:pPr>
        <w:ind w:firstLine="480" w:firstLineChars="200"/>
      </w:pPr>
      <w:r>
        <w:rPr>
          <w:rFonts w:ascii="宋体" w:hAnsi="宋体"/>
          <w:color w:val="000000"/>
        </w:rPr>
        <w:t>相比传统遍历搜索方法，贝叶斯优化能够在较少目标函数评价次数下寻找较优解，因此适用于计算成本较高的光学仿真问题。</w:t>
      </w:r>
    </w:p>
    <w:p w14:paraId="7A68689D">
      <w:r>
        <w:rPr>
          <w:rFonts w:ascii="宋体" w:hAnsi="宋体"/>
          <w:color w:val="000000"/>
        </w:rPr>
        <w:t>设光学参数：</w:t>
      </w:r>
    </w:p>
    <w:p w14:paraId="12824EB7">
      <w:pPr>
        <w:ind w:firstLine="480" w:firstLineChars="200"/>
        <w:jc w:val="center"/>
      </w:pPr>
      <w:r>
        <w:rPr>
          <w:position w:val="-12"/>
        </w:rPr>
        <w:object>
          <v:shape id="_x0000_i1036" o:spt="75" type="#_x0000_t75" style="height:18pt;width:89pt;" o:ole="t" filled="f" o:preferrelative="t" stroked="f" coordsize="21600,21600">
            <v:path/>
            <v:fill on="f" focussize="0,0"/>
            <v:stroke on="f" joinstyle="miter"/>
            <v:imagedata r:id="rId43" o:title=""/>
            <o:lock v:ext="edit" aspectratio="t"/>
            <w10:wrap type="none"/>
            <w10:anchorlock/>
          </v:shape>
          <o:OLEObject Type="Embed" ProgID="Equation.DSMT4" ShapeID="_x0000_i1036" DrawAspect="Content" ObjectID="_1468075736" r:id="rId42">
            <o:LockedField>false</o:LockedField>
          </o:OLEObject>
        </w:object>
      </w:r>
    </w:p>
    <w:p w14:paraId="2C1289BD">
      <w:pPr>
        <w:rPr>
          <w:rFonts w:hint="eastAsia" w:ascii="宋体" w:hAnsi="宋体"/>
          <w:color w:val="000000"/>
        </w:rPr>
      </w:pPr>
      <w:r>
        <w:rPr>
          <w:rFonts w:ascii="宋体" w:hAnsi="宋体"/>
          <w:color w:val="000000"/>
        </w:rPr>
        <w:t>目标函数：</w:t>
      </w:r>
    </w:p>
    <w:p w14:paraId="5E3AE788">
      <w:pPr>
        <w:pStyle w:val="9"/>
        <w:ind w:left="480"/>
      </w:pPr>
      <w:r>
        <w:pict>
          <v:shape id="_x0000_s2053" o:spid="_x0000_s2053" o:spt="75" type="#_x0000_t75" style="position:absolute;left:0pt;margin-left:223.05pt;margin-top:5.5pt;height:15.75pt;width:36.75pt;mso-wrap-distance-bottom:0pt;mso-wrap-distance-left:9pt;mso-wrap-distance-right:9pt;mso-wrap-distance-top:0pt;z-index:251659264;mso-width-relative:page;mso-height-relative:page;" o:ole="t" filled="f" o:preferrelative="t" stroked="f" coordsize="21600,21600">
            <v:path/>
            <v:fill on="f" focussize="0,0"/>
            <v:stroke on="f" joinstyle="miter"/>
            <v:imagedata r:id="rId45" o:title=""/>
            <o:lock v:ext="edit" aspectratio="t"/>
            <w10:wrap type="square" side="right"/>
          </v:shape>
          <o:OLEObject Type="Embed" ProgID="Equation.DSMT4" ShapeID="_x0000_s2053" DrawAspect="Content" ObjectID="_1468075737" r:id="rId44">
            <o:LockedField>false</o:LockedField>
          </o:OLEObject>
        </w:pict>
      </w:r>
    </w:p>
    <w:p w14:paraId="14D13E60">
      <w:pPr>
        <w:pStyle w:val="9"/>
        <w:ind w:left="480"/>
      </w:pPr>
      <w:r>
        <w:rPr>
          <w:rFonts w:ascii="宋体" w:hAnsi="宋体"/>
          <w:color w:val="000000"/>
        </w:rPr>
        <w:t>其中：</w:t>
      </w:r>
      <w:r>
        <w:rPr>
          <w:position w:val="-10"/>
        </w:rPr>
        <w:object>
          <v:shape id="_x0000_i1037" o:spt="75" type="#_x0000_t75" style="height:16pt;width:24pt;" o:ole="t" filled="f" o:preferrelative="t" stroked="f" coordsize="21600,21600">
            <v:path/>
            <v:fill on="f" focussize="0,0"/>
            <v:stroke on="f" joinstyle="miter"/>
            <v:imagedata r:id="rId47" o:title=""/>
            <o:lock v:ext="edit" aspectratio="t"/>
            <w10:wrap type="none"/>
            <w10:anchorlock/>
          </v:shape>
          <o:OLEObject Type="Embed" ProgID="Equation.DSMT4" ShapeID="_x0000_i1037" DrawAspect="Content" ObjectID="_1468075738" r:id="rId46">
            <o:LockedField>false</o:LockedField>
          </o:OLEObject>
        </w:object>
      </w:r>
      <w:r>
        <w:rPr>
          <w:rFonts w:ascii="宋体" w:hAnsi="宋体"/>
          <w:color w:val="000000"/>
        </w:rPr>
        <w:t>表示真实光学仿真得到的耦合效率。</w:t>
      </w:r>
    </w:p>
    <w:p w14:paraId="3A52A6EB">
      <w:pPr>
        <w:ind w:firstLine="480" w:firstLineChars="200"/>
      </w:pPr>
      <w:r>
        <w:rPr>
          <w:rFonts w:ascii="宋体" w:hAnsi="宋体"/>
          <w:color w:val="000000"/>
        </w:rPr>
        <w:t>由于真实函数计算成本较高，贝叶斯优化首先建立代理模型：</w:t>
      </w:r>
      <w:r>
        <w:rPr>
          <w:position w:val="-10"/>
        </w:rPr>
        <w:object>
          <v:shape id="_x0000_i1038" o:spt="75" type="#_x0000_t75" style="height:19pt;width:31pt;" o:ole="t" filled="f" o:preferrelative="t" stroked="f" coordsize="21600,21600">
            <v:path/>
            <v:fill on="f" focussize="0,0"/>
            <v:stroke on="f" joinstyle="miter"/>
            <v:imagedata r:id="rId49" o:title=""/>
            <o:lock v:ext="edit" aspectratio="t"/>
            <w10:wrap type="none"/>
            <w10:anchorlock/>
          </v:shape>
          <o:OLEObject Type="Embed" ProgID="Equation.DSMT4" ShapeID="_x0000_i1038" DrawAspect="Content" ObjectID="_1468075739" r:id="rId48">
            <o:LockedField>false</o:LockedField>
          </o:OLEObject>
        </w:object>
      </w:r>
    </w:p>
    <w:p w14:paraId="0FDA4823">
      <w:pPr>
        <w:ind w:firstLine="480" w:firstLineChars="200"/>
        <w:jc w:val="both"/>
        <w:rPr>
          <w:rFonts w:hint="eastAsia" w:ascii="宋体" w:hAnsi="宋体"/>
          <w:color w:val="000000"/>
        </w:rPr>
      </w:pPr>
      <w:r>
        <w:rPr>
          <w:rFonts w:ascii="宋体" w:hAnsi="宋体"/>
          <w:color w:val="000000"/>
        </w:rPr>
        <w:t>代理模型通常表示为：</w:t>
      </w:r>
    </w:p>
    <w:p w14:paraId="440E141F">
      <w:pPr>
        <w:ind w:firstLine="480" w:firstLineChars="200"/>
        <w:jc w:val="center"/>
      </w:pPr>
      <w:r>
        <w:rPr>
          <w:position w:val="-10"/>
        </w:rPr>
        <w:object>
          <v:shape id="_x0000_i1039" o:spt="75" type="#_x0000_t75" style="height:19pt;width:109pt;" o:ole="t" filled="f" o:preferrelative="t" stroked="f" coordsize="21600,21600">
            <v:path/>
            <v:fill on="f" focussize="0,0"/>
            <v:stroke on="f" joinstyle="miter"/>
            <v:imagedata r:id="rId51" o:title=""/>
            <o:lock v:ext="edit" aspectratio="t"/>
            <w10:wrap type="none"/>
            <w10:anchorlock/>
          </v:shape>
          <o:OLEObject Type="Embed" ProgID="Equation.DSMT4" ShapeID="_x0000_i1039" DrawAspect="Content" ObjectID="_1468075740" r:id="rId50">
            <o:LockedField>false</o:LockedField>
          </o:OLEObject>
        </w:object>
      </w:r>
    </w:p>
    <w:p w14:paraId="6B26C5F2">
      <w:pPr>
        <w:ind w:firstLine="480" w:firstLineChars="200"/>
      </w:pPr>
      <w:r>
        <w:rPr>
          <w:rFonts w:ascii="宋体" w:hAnsi="宋体"/>
          <w:color w:val="000000"/>
        </w:rPr>
        <w:t>其中：</w:t>
      </w:r>
    </w:p>
    <w:p w14:paraId="4984C934">
      <w:pPr>
        <w:numPr>
          <w:ilvl w:val="0"/>
          <w:numId w:val="1"/>
        </w:numPr>
        <w:ind w:left="480" w:firstLine="480" w:firstLineChars="200"/>
      </w:pPr>
      <w:r>
        <w:rPr>
          <w:position w:val="-10"/>
        </w:rPr>
        <w:object>
          <v:shape id="_x0000_i1040" o:spt="75" type="#_x0000_t75" style="height:16pt;width:31pt;" o:ole="t" filled="f" o:preferrelative="t" stroked="f" coordsize="21600,21600">
            <v:path/>
            <v:fill on="f" focussize="0,0"/>
            <v:stroke on="f" joinstyle="miter"/>
            <v:imagedata r:id="rId53" o:title=""/>
            <o:lock v:ext="edit" aspectratio="t"/>
            <w10:wrap type="none"/>
            <w10:anchorlock/>
          </v:shape>
          <o:OLEObject Type="Embed" ProgID="Equation.DSMT4" ShapeID="_x0000_i1040" DrawAspect="Content" ObjectID="_1468075741" r:id="rId52">
            <o:LockedField>false</o:LockedField>
          </o:OLEObject>
        </w:object>
      </w:r>
      <w:r>
        <w:rPr>
          <w:rFonts w:ascii="宋体" w:hAnsi="宋体"/>
          <w:color w:val="000000"/>
        </w:rPr>
        <w:t xml:space="preserve">：预测性能； </w:t>
      </w:r>
    </w:p>
    <w:p w14:paraId="0627A623">
      <w:pPr>
        <w:numPr>
          <w:ilvl w:val="0"/>
          <w:numId w:val="1"/>
        </w:numPr>
        <w:ind w:left="480" w:firstLine="480" w:firstLineChars="200"/>
      </w:pPr>
      <w:r>
        <w:rPr>
          <w:position w:val="-10"/>
        </w:rPr>
        <w:object>
          <v:shape id="_x0000_i1041" o:spt="75" type="#_x0000_t75" style="height:16pt;width:31pt;" o:ole="t" filled="f" o:preferrelative="t" stroked="f" coordsize="21600,21600">
            <v:path/>
            <v:fill on="f" focussize="0,0"/>
            <v:stroke on="f" joinstyle="miter"/>
            <v:imagedata r:id="rId55" o:title=""/>
            <o:lock v:ext="edit" aspectratio="t"/>
            <w10:wrap type="none"/>
            <w10:anchorlock/>
          </v:shape>
          <o:OLEObject Type="Embed" ProgID="Equation.DSMT4" ShapeID="_x0000_i1041" DrawAspect="Content" ObjectID="_1468075742" r:id="rId54">
            <o:LockedField>false</o:LockedField>
          </o:OLEObject>
        </w:object>
      </w:r>
      <w:r>
        <w:rPr>
          <w:rFonts w:ascii="宋体" w:hAnsi="宋体"/>
          <w:color w:val="000000"/>
        </w:rPr>
        <w:t xml:space="preserve">：预测不确定性。 </w:t>
      </w:r>
    </w:p>
    <w:p w14:paraId="3A1D42D0">
      <w:pPr>
        <w:ind w:firstLine="480" w:firstLineChars="200"/>
        <w:rPr>
          <w:rFonts w:hint="eastAsia" w:ascii="宋体" w:hAnsi="宋体"/>
          <w:color w:val="000000"/>
        </w:rPr>
      </w:pPr>
      <w:r>
        <w:rPr>
          <w:rFonts w:ascii="宋体" w:hAnsi="宋体"/>
          <w:color w:val="000000"/>
        </w:rPr>
        <w:t>随后通过采集函数选择下一组计算参数：</w:t>
      </w:r>
    </w:p>
    <w:p w14:paraId="0F9904F3">
      <w:pPr>
        <w:ind w:firstLine="480" w:firstLineChars="200"/>
        <w:jc w:val="center"/>
      </w:pPr>
      <w:r>
        <w:rPr>
          <w:position w:val="-12"/>
        </w:rPr>
        <w:object>
          <v:shape id="_x0000_i1042" o:spt="75" type="#_x0000_t75" style="height:18pt;width:103pt;" o:ole="t" filled="f" o:preferrelative="t" stroked="f" coordsize="21600,21600">
            <v:path/>
            <v:fill on="f" focussize="0,0"/>
            <v:stroke on="f" joinstyle="miter"/>
            <v:imagedata r:id="rId57" o:title=""/>
            <o:lock v:ext="edit" aspectratio="t"/>
            <w10:wrap type="none"/>
            <w10:anchorlock/>
          </v:shape>
          <o:OLEObject Type="Embed" ProgID="Equation.DSMT4" ShapeID="_x0000_i1042" DrawAspect="Content" ObjectID="_1468075743" r:id="rId56">
            <o:LockedField>false</o:LockedField>
          </o:OLEObject>
        </w:object>
      </w:r>
    </w:p>
    <w:p w14:paraId="7C5F9A84">
      <w:pPr>
        <w:ind w:firstLine="480" w:firstLineChars="200"/>
      </w:pPr>
      <w:r>
        <w:rPr>
          <w:rFonts w:ascii="宋体" w:hAnsi="宋体"/>
          <w:color w:val="000000"/>
        </w:rPr>
        <w:t>其中：</w:t>
      </w:r>
    </w:p>
    <w:p w14:paraId="7AB7BBA7">
      <w:pPr>
        <w:ind w:firstLine="480" w:firstLineChars="200"/>
      </w:pPr>
      <w:r>
        <w:rPr>
          <w:position w:val="-10"/>
        </w:rPr>
        <w:object>
          <v:shape id="_x0000_i1043" o:spt="75" type="#_x0000_t75" style="height:16pt;width:31pt;" o:ole="t" filled="f" o:preferrelative="t" stroked="f" coordsize="21600,21600">
            <v:path/>
            <v:fill on="f" focussize="0,0"/>
            <v:stroke on="f" joinstyle="miter"/>
            <v:imagedata r:id="rId59" o:title=""/>
            <o:lock v:ext="edit" aspectratio="t"/>
            <w10:wrap type="none"/>
            <w10:anchorlock/>
          </v:shape>
          <o:OLEObject Type="Embed" ProgID="Equation.DSMT4" ShapeID="_x0000_i1043" DrawAspect="Content" ObjectID="_1468075744" r:id="rId58">
            <o:LockedField>false</o:LockedField>
          </o:OLEObject>
        </w:object>
      </w:r>
      <w:r>
        <w:rPr>
          <w:rFonts w:ascii="宋体" w:hAnsi="宋体"/>
          <w:color w:val="000000"/>
        </w:rPr>
        <w:t>综合考虑预测性能和不确定性。</w:t>
      </w:r>
    </w:p>
    <w:p w14:paraId="75A6DFB0">
      <w:pPr>
        <w:ind w:firstLine="480" w:firstLineChars="200"/>
      </w:pPr>
      <w:r>
        <w:t>差分进化（Differential Evolution，DE）是一种基于群体进化思想的全局优化算法。</w:t>
      </w:r>
    </w:p>
    <w:p w14:paraId="1DE0640B">
      <w:pPr>
        <w:ind w:firstLine="480" w:firstLineChars="200"/>
      </w:pPr>
      <w:r>
        <w:rPr>
          <w:rFonts w:ascii="宋体" w:hAnsi="宋体"/>
          <w:color w:val="000000"/>
        </w:rPr>
        <w:t>其核心思想是：</w:t>
      </w:r>
    </w:p>
    <w:p w14:paraId="446AAC46">
      <w:pPr>
        <w:ind w:firstLine="480" w:firstLineChars="200"/>
      </w:pPr>
      <w:r>
        <w:t>通过维护一组候选参数，通过变异、交叉和选择操作，使种群逐渐向高性能区域演化。</w:t>
      </w:r>
    </w:p>
    <w:p w14:paraId="4B5FCEB3">
      <w:pPr>
        <w:ind w:firstLine="482" w:firstLineChars="200"/>
        <w:rPr>
          <w:b/>
          <w:bCs/>
        </w:rPr>
      </w:pPr>
      <w:r>
        <w:rPr>
          <w:rFonts w:ascii="宋体" w:hAnsi="宋体"/>
          <w:b/>
          <w:bCs/>
          <w:color w:val="000000"/>
        </w:rPr>
        <w:t>（2）种群表示</w:t>
      </w:r>
    </w:p>
    <w:p w14:paraId="358977A1">
      <w:pPr>
        <w:ind w:firstLine="480" w:firstLineChars="200"/>
        <w:jc w:val="both"/>
        <w:rPr>
          <w:rFonts w:hint="eastAsia" w:ascii="宋体" w:hAnsi="宋体"/>
          <w:color w:val="000000"/>
        </w:rPr>
      </w:pPr>
      <w:r>
        <w:rPr>
          <w:rFonts w:ascii="宋体" w:hAnsi="宋体"/>
          <w:color w:val="000000"/>
        </w:rPr>
        <w:t>初始化：</w:t>
      </w:r>
    </w:p>
    <w:p w14:paraId="75BF23B7">
      <w:pPr>
        <w:ind w:firstLine="480" w:firstLineChars="200"/>
        <w:jc w:val="center"/>
      </w:pPr>
      <w:r>
        <w:rPr>
          <w:position w:val="-12"/>
        </w:rPr>
        <w:object>
          <v:shape id="_x0000_i1044" o:spt="75" type="#_x0000_t75" style="height:18pt;width:101pt;" o:ole="t" filled="f" o:preferrelative="t" stroked="f" coordsize="21600,21600">
            <v:path/>
            <v:fill on="f" focussize="0,0"/>
            <v:stroke on="f" joinstyle="miter"/>
            <v:imagedata r:id="rId61" o:title=""/>
            <o:lock v:ext="edit" aspectratio="t"/>
            <w10:wrap type="none"/>
            <w10:anchorlock/>
          </v:shape>
          <o:OLEObject Type="Embed" ProgID="Equation.DSMT4" ShapeID="_x0000_i1044" DrawAspect="Content" ObjectID="_1468075745" r:id="rId60">
            <o:LockedField>false</o:LockedField>
          </o:OLEObject>
        </w:object>
      </w:r>
    </w:p>
    <w:p w14:paraId="40CA2794">
      <w:pPr>
        <w:ind w:firstLine="480" w:firstLineChars="200"/>
      </w:pPr>
      <w:r>
        <w:rPr>
          <w:rFonts w:ascii="宋体" w:hAnsi="宋体"/>
          <w:color w:val="000000"/>
        </w:rPr>
        <w:t>其中：</w:t>
      </w:r>
    </w:p>
    <w:p w14:paraId="265D3B99">
      <w:pPr>
        <w:numPr>
          <w:ilvl w:val="0"/>
          <w:numId w:val="2"/>
        </w:numPr>
        <w:ind w:left="480" w:firstLine="480" w:firstLineChars="200"/>
      </w:pPr>
      <m:oMath>
        <m:r>
          <m:rPr/>
          <w:rPr>
            <w:rFonts w:ascii="Cambria Math" w:hAnsi="Cambria Math"/>
          </w:rPr>
          <m:t>N</m:t>
        </m:r>
      </m:oMath>
      <w:r>
        <w:rPr>
          <w:rFonts w:ascii="宋体" w:hAnsi="宋体"/>
          <w:color w:val="000000"/>
        </w:rPr>
        <w:t xml:space="preserve">：种群规模； </w:t>
      </w:r>
    </w:p>
    <w:p w14:paraId="61C42676">
      <w:pPr>
        <w:numPr>
          <w:ilvl w:val="0"/>
          <w:numId w:val="2"/>
        </w:numPr>
        <w:ind w:left="480" w:firstLine="480" w:firstLineChars="200"/>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rPr>
          <w:rFonts w:ascii="宋体" w:hAnsi="宋体"/>
          <w:color w:val="000000"/>
        </w:rPr>
        <w:t xml:space="preserve">：第 </w:t>
      </w:r>
      <m:oMath>
        <m:r>
          <m:rPr/>
          <w:rPr>
            <w:rFonts w:ascii="Cambria Math" w:hAnsi="Cambria Math"/>
          </w:rPr>
          <m:t>i</m:t>
        </m:r>
      </m:oMath>
      <w:r>
        <w:rPr>
          <w:rFonts w:ascii="宋体" w:hAnsi="宋体"/>
          <w:color w:val="000000"/>
        </w:rPr>
        <w:t xml:space="preserve">个候选光学参数组合。 </w:t>
      </w:r>
    </w:p>
    <w:p w14:paraId="3D045A74">
      <w:pPr>
        <w:ind w:firstLine="480" w:firstLineChars="200"/>
      </w:pPr>
      <w:r>
        <w:rPr>
          <w:rFonts w:ascii="宋体" w:hAnsi="宋体"/>
          <w:color w:val="000000"/>
        </w:rPr>
        <w:t>例如：</w:t>
      </w:r>
      <w:r>
        <w:rPr>
          <w:position w:val="-12"/>
        </w:rPr>
        <w:object>
          <v:shape id="_x0000_i1045" o:spt="75" type="#_x0000_t75" style="height:18pt;width:103.95pt;" o:ole="t" filled="f" o:preferrelative="t" stroked="f" coordsize="21600,21600">
            <v:path/>
            <v:fill on="f" focussize="0,0"/>
            <v:stroke on="f" joinstyle="miter"/>
            <v:imagedata r:id="rId63" o:title=""/>
            <o:lock v:ext="edit" aspectratio="t"/>
            <w10:wrap type="none"/>
            <w10:anchorlock/>
          </v:shape>
          <o:OLEObject Type="Embed" ProgID="Equation.DSMT4" ShapeID="_x0000_i1045" DrawAspect="Content" ObjectID="_1468075746" r:id="rId62">
            <o:LockedField>false</o:LockedField>
          </o:OLEObject>
        </w:object>
      </w:r>
      <w:r>
        <w:t>表示一种透镜结构方案。</w:t>
      </w:r>
    </w:p>
    <w:p w14:paraId="6B0EE8F5">
      <w:pPr>
        <w:ind w:firstLine="482" w:firstLineChars="200"/>
        <w:rPr>
          <w:b/>
          <w:bCs/>
        </w:rPr>
      </w:pPr>
      <w:r>
        <w:rPr>
          <w:rFonts w:ascii="宋体" w:hAnsi="宋体"/>
          <w:b/>
          <w:bCs/>
          <w:color w:val="000000"/>
        </w:rPr>
        <w:t>（3）变异操作</w:t>
      </w:r>
    </w:p>
    <w:p w14:paraId="360BF085">
      <w:pPr>
        <w:ind w:firstLine="480" w:firstLineChars="200"/>
      </w:pPr>
      <w:r>
        <w:t>差分进化利用不同个体之间的差异产生新的搜索方向：</w:t>
      </w:r>
    </w:p>
    <w:p w14:paraId="0316FF5A">
      <w:pPr>
        <w:ind w:firstLine="480" w:firstLineChars="200"/>
      </w:pPr>
      <m:oMathPara>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+F</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m:sty m:val="p"/>
            </m:rPr>
            <w:br w:type="textWrapping"/>
          </m:r>
        </m:oMath>
      </m:oMathPara>
    </w:p>
    <w:p w14:paraId="244EDBCA">
      <w:pPr>
        <w:ind w:firstLine="480" w:firstLineChars="200"/>
      </w:pPr>
      <w:r>
        <w:rPr>
          <w:rFonts w:ascii="宋体" w:hAnsi="宋体"/>
          <w:color w:val="000000"/>
        </w:rPr>
        <w:t>其中：</w:t>
      </w:r>
    </w:p>
    <w:p w14:paraId="0052A1CA">
      <w:pPr>
        <w:numPr>
          <w:ilvl w:val="0"/>
          <w:numId w:val="3"/>
        </w:numPr>
        <w:ind w:left="480" w:firstLine="480" w:firstLineChars="200"/>
      </w:pPr>
      <m:oMath>
        <m:r>
          <m:rPr/>
          <w:rPr>
            <w:rFonts w:ascii="Cambria Math" w:hAnsi="Cambria Math"/>
          </w:rPr>
          <m:t>F</m:t>
        </m:r>
      </m:oMath>
      <w:r>
        <w:rPr>
          <w:rFonts w:ascii="宋体" w:hAnsi="宋体"/>
          <w:color w:val="000000"/>
        </w:rPr>
        <w:t xml:space="preserve">：缩放因子； </w:t>
      </w:r>
    </w:p>
    <w:p w14:paraId="7D157ED9">
      <w:pPr>
        <w:numPr>
          <w:ilvl w:val="0"/>
          <w:numId w:val="3"/>
        </w:numPr>
        <w:ind w:left="480" w:firstLine="480" w:firstLineChars="200"/>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oMath>
      <w:r>
        <w:rPr>
          <w:rFonts w:ascii="宋体" w:hAnsi="宋体"/>
          <w:color w:val="000000"/>
        </w:rPr>
        <w:t xml:space="preserve">：随机选择的不同个体。 </w:t>
      </w:r>
    </w:p>
    <w:p w14:paraId="3CB03B14">
      <w:pPr>
        <w:ind w:firstLine="482" w:firstLineChars="200"/>
        <w:rPr>
          <w:b/>
          <w:bCs/>
        </w:rPr>
      </w:pPr>
      <w:r>
        <w:rPr>
          <w:rFonts w:ascii="宋体" w:hAnsi="宋体"/>
          <w:b/>
          <w:bCs/>
          <w:color w:val="000000"/>
        </w:rPr>
        <w:t>（4）选择操作</w:t>
      </w:r>
    </w:p>
    <w:p w14:paraId="4FD733E0">
      <w:pPr>
        <w:ind w:firstLine="480" w:firstLineChars="200"/>
      </w:pPr>
      <w:r>
        <w:rPr>
          <w:rFonts w:ascii="宋体" w:hAnsi="宋体"/>
          <w:color w:val="000000"/>
        </w:rPr>
        <w:t>比较新方案和旧方案的目标函数：</w:t>
      </w:r>
    </w:p>
    <w:p w14:paraId="0DEDE867">
      <w:pPr>
        <w:ind w:firstLine="480" w:firstLineChars="200"/>
      </w:pPr>
      <m:oMathPara>
        <m:oMath>
          <m:r>
            <m:rPr/>
            <w:rPr>
              <w:rFonts w:ascii="Cambria Math" w:hAnsi="Cambria Math"/>
            </w:rPr>
            <m:t>f</m:t>
          </m:r>
          <m:d>
            <m:dPr>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&lt;f</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br w:type="textWrapping"/>
          </m:r>
        </m:oMath>
      </m:oMathPara>
    </w:p>
    <w:p w14:paraId="7AF96A97">
      <w:pPr>
        <w:ind w:firstLine="480" w:firstLineChars="200"/>
      </w:pPr>
      <w:r>
        <w:rPr>
          <w:rFonts w:ascii="宋体" w:hAnsi="宋体"/>
          <w:color w:val="000000"/>
        </w:rPr>
        <w:t>则保留新方案：</w:t>
      </w:r>
    </w:p>
    <w:p w14:paraId="4D7B2561">
      <w:pPr>
        <w:ind w:firstLine="480" w:firstLineChars="200"/>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br w:type="textWrapping"/>
          </m:r>
        </m:oMath>
      </m:oMathPara>
    </w:p>
    <w:p w14:paraId="0855E444">
      <w:pPr>
        <w:ind w:firstLine="480" w:firstLineChars="200"/>
      </w:pPr>
      <w:r>
        <w:rPr>
          <w:rFonts w:ascii="宋体" w:hAnsi="宋体"/>
          <w:color w:val="000000"/>
        </w:rPr>
        <w:t>经过多轮迭代：</w:t>
      </w:r>
    </w:p>
    <w:p w14:paraId="6222B900">
      <w:pPr>
        <w:ind w:firstLine="480" w:firstLineChars="200"/>
      </w:pPr>
      <m:oMathPara>
        <m:oMath>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0</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1</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r>
            <m:rPr>
              <m:sty m:val="p"/>
            </m:rPr>
            <w:br w:type="textWrapping"/>
          </m:r>
        </m:oMath>
      </m:oMathPara>
    </w:p>
    <w:p w14:paraId="69202CF5">
      <w:pPr>
        <w:ind w:firstLine="480" w:firstLineChars="200"/>
      </w:pPr>
      <w:r>
        <w:rPr>
          <w:rFonts w:ascii="宋体" w:hAnsi="宋体"/>
          <w:color w:val="000000"/>
        </w:rPr>
        <w:t>最终获得较优参数组合。</w:t>
      </w:r>
    </w:p>
    <w:p w14:paraId="1269ABCB">
      <w:pPr>
        <w:ind w:firstLine="482" w:firstLineChars="200"/>
        <w:rPr>
          <w:b/>
          <w:bCs/>
        </w:rPr>
      </w:pPr>
    </w:p>
    <w:p w14:paraId="7AF036BA">
      <w:pPr>
        <w:ind w:firstLine="480" w:firstLineChars="200"/>
      </w:pPr>
      <w:r>
        <w:rPr>
          <w:rFonts w:ascii="宋体" w:hAnsi="宋体"/>
          <w:color w:val="000000"/>
        </w:rPr>
        <w:t>差分进化主要用于：</w:t>
      </w:r>
    </w:p>
    <w:p w14:paraId="6C706F4F">
      <w:pPr>
        <w:ind w:firstLine="480" w:firstLineChars="200"/>
      </w:pPr>
      <m:oMathPara>
        <m:oMath>
          <m:borderBox>
            <m:borderBoxPr>
              <m:ctrlPr>
                <w:rPr>
                  <w:rFonts w:ascii="Cambria Math" w:hAnsi="Cambria Math"/>
                </w:rPr>
              </m:ctrlPr>
            </m:borderBoxPr>
            <m:e>
              <m:r>
                <m:rPr>
                  <m:nor/>
                  <m:sty m:val="p"/>
                </m:rPr>
                <m:t>高维、多峰光学参数空间搜索</m:t>
              </m:r>
              <m:ctrlPr>
                <w:rPr>
                  <w:rFonts w:ascii="Cambria Math" w:hAnsi="Cambria Math"/>
                </w:rPr>
              </m:ctrlPr>
            </m:e>
          </m:borderBox>
          <m:r>
            <m:rPr>
              <m:sty m:val="p"/>
            </m:rPr>
            <w:br w:type="textWrapping"/>
          </m:r>
        </m:oMath>
      </m:oMathPara>
    </w:p>
    <w:p w14:paraId="306B1FB6">
      <w:pPr>
        <w:ind w:firstLine="480" w:firstLineChars="200"/>
      </w:pPr>
      <w:r>
        <w:rPr>
          <w:rFonts w:ascii="宋体" w:hAnsi="宋体"/>
          <w:color w:val="000000"/>
        </w:rPr>
        <w:t>例如：</w:t>
      </w:r>
    </w:p>
    <w:p w14:paraId="18AC6641">
      <w:pPr>
        <w:ind w:firstLine="480" w:firstLineChars="200"/>
      </w:pPr>
      <w:r>
        <w:rPr>
          <w:rFonts w:ascii="宋体" w:hAnsi="宋体"/>
          <w:color w:val="000000"/>
        </w:rPr>
        <w:t>同时优化：</w:t>
      </w:r>
    </w:p>
    <w:p w14:paraId="28DB9CFD">
      <w:pPr>
        <w:ind w:firstLine="480" w:firstLineChars="200"/>
      </w:pPr>
      <m:oMathPara>
        <m:oMath>
          <m:d>
            <m:dPr>
              <m:sepChr m:val=","/>
              <m:ctrlPr>
                <w:rPr>
                  <w:rFonts w:ascii="Cambria Math" w:hAnsi="Cambria Math"/>
                </w:rPr>
              </m:ctrlPr>
            </m:d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e>
          </m:d>
          <m:r>
            <m:rPr>
              <m:sty m:val="p"/>
            </m:rPr>
            <w:br w:type="textWrapping"/>
          </m:r>
        </m:oMath>
      </m:oMathPara>
    </w:p>
    <w:p w14:paraId="0C22536E">
      <w:pPr>
        <w:ind w:firstLine="480" w:firstLineChars="200"/>
      </w:pPr>
      <w:r>
        <w:t>由于光学系统可能存在多个局部最优点，差分进化能够通过种群搜索避免陷入单一区域。</w:t>
      </w:r>
    </w:p>
    <w:p w14:paraId="1BE75B4F">
      <w:pPr>
        <w:ind w:firstLine="480" w:firstLineChars="200"/>
      </w:pPr>
    </w:p>
    <w:p w14:paraId="15A6AFF5">
      <w:pPr>
        <w:pStyle w:val="4"/>
        <w:spacing w:before="156" w:after="156"/>
      </w:pPr>
      <w:bookmarkStart w:id="35" w:name="_Toc6445"/>
      <w:r>
        <w:rPr>
          <w:rFonts w:hint="eastAsia"/>
        </w:rPr>
        <w:t>3.4.2 Powell优化算法</w:t>
      </w:r>
      <w:bookmarkEnd w:id="35"/>
    </w:p>
    <w:p w14:paraId="36B8FDB5">
      <w:pPr>
        <w:ind w:firstLine="480" w:firstLineChars="200"/>
      </w:pPr>
      <w:r>
        <w:rPr>
          <w:rFonts w:ascii="宋体" w:hAnsi="宋体"/>
          <w:color w:val="000000"/>
        </w:rPr>
        <w:t>Powell 算法是一种不依赖梯度的一维方向搜索方法，适合目标函数由正式光学仿真给出、局部响应非线性且难以获得解析梯度的场景。算法从一组共轭搜索方向出发，沿每个方向进行一维搜索，并根据目标函数下降效果更新方向。</w:t>
      </w:r>
    </w:p>
    <w:p w14:paraId="71E9C8F7">
      <w:pPr>
        <w:ind w:firstLine="480" w:firstLineChars="200"/>
      </w:pPr>
      <w:r>
        <w:t>在本项目中，贝叶斯优化和差分进化负责在代理模型上寻找全局候选区域，Powell 则只对少量候选方案调用正式仿真进行局部精调。每次评价前先执行准直条件、机械间距、透镜有效孔径、光纤位置和参数边界检查；不满足硬约束的方案直接剔除，不用惩罚项掩盖不可制造性。</w:t>
      </w:r>
    </w:p>
    <w:p w14:paraId="30CF9F1F">
      <w:pPr>
        <w:ind w:firstLine="480" w:firstLineChars="200"/>
      </w:pPr>
      <w:r>
        <w:t>Powell 输出的候选结果必须回到正式物理计算链复核，复核内容包括光线追迹状态、复场传播质量、模式耦合效率、系统总效率以及能量闭合指标。只有在物理计算收敛且约束满足时，候选结果才进入结果库，形成“代理筛选—正式精调—独立复核”的闭环。</w:t>
      </w:r>
    </w:p>
    <w:p w14:paraId="2818379D">
      <w:pPr>
        <w:pStyle w:val="3"/>
        <w:spacing w:before="249" w:after="249"/>
      </w:pPr>
      <w:bookmarkStart w:id="36" w:name="_Toc21734"/>
      <w:r>
        <w:rPr>
          <w:rFonts w:hint="eastAsia"/>
        </w:rPr>
        <w:t>3.5 SHAP</w:t>
      </w:r>
      <w:bookmarkEnd w:id="36"/>
    </w:p>
    <w:p w14:paraId="441A4339">
      <w:pPr>
        <w:pStyle w:val="4"/>
        <w:spacing w:before="156" w:after="156"/>
      </w:pPr>
      <w:bookmarkStart w:id="37" w:name="_Toc11632"/>
      <w:r>
        <w:rPr>
          <w:rFonts w:hint="eastAsia"/>
        </w:rPr>
        <w:t>3.5.1 SHAP原理</w:t>
      </w:r>
      <w:bookmarkEnd w:id="37"/>
    </w:p>
    <w:p w14:paraId="3E91BC98">
      <w:pPr>
        <w:ind w:firstLine="480" w:firstLineChars="200"/>
      </w:pPr>
      <w:r>
        <w:t>SHAP（SHapley Additive exPlanations）将一个模型的预测结果分解为基准输出与各输入特征贡献之和，可写为</w:t>
      </w:r>
      <w:r>
        <w:rPr>
          <w:position w:val="-28"/>
        </w:rPr>
        <w:object>
          <v:shape id="_x0000_i1046" o:spt="75" type="#_x0000_t75" style="height:27pt;width:85pt;" o:ole="t" filled="f" o:preferrelative="t" stroked="f" coordsize="21600,21600">
            <v:path/>
            <v:fill on="f" focussize="0,0"/>
            <v:stroke on="f" joinstyle="miter"/>
            <v:imagedata r:id="rId65" o:title=""/>
            <o:lock v:ext="edit" aspectratio="t"/>
            <w10:wrap type="none"/>
            <w10:anchorlock/>
          </v:shape>
          <o:OLEObject Type="Embed" ProgID="Equation.DSMT4" ShapeID="_x0000_i1046" DrawAspect="Content" ObjectID="_1468075747" r:id="rId64">
            <o:LockedField>false</o:LockedField>
          </o:OLEObject>
        </w:object>
      </w:r>
      <w:r>
        <w:t>。</w:t>
      </w:r>
      <w:r>
        <w:rPr>
          <w:position w:val="-12"/>
        </w:rPr>
        <w:object>
          <v:shape id="_x0000_i1047" o:spt="75" type="#_x0000_t75" style="height:18pt;width:13pt;" o:ole="t" filled="f" o:preferrelative="t" stroked="f" coordsize="21600,21600">
            <v:path/>
            <v:fill on="f" focussize="0,0"/>
            <v:stroke on="f" joinstyle="miter"/>
            <v:imagedata r:id="rId67" o:title=""/>
            <o:lock v:ext="edit" aspectratio="t"/>
            <w10:wrap type="none"/>
            <w10:anchorlock/>
          </v:shape>
          <o:OLEObject Type="Embed" ProgID="Equation.DSMT4" ShapeID="_x0000_i1047" DrawAspect="Content" ObjectID="_1468075748" r:id="rId66">
            <o:LockedField>false</o:LockedField>
          </o:OLEObject>
        </w:object>
      </w:r>
      <w:r>
        <w:t xml:space="preserve">表示第 </w:t>
      </w:r>
      <w:r>
        <w:rPr>
          <w:position w:val="-6"/>
        </w:rPr>
        <w:object>
          <v:shape id="_x0000_i1048" o:spt="75" type="#_x0000_t75" style="height:13pt;width:6.95pt;" o:ole="t" filled="f" o:preferrelative="t" stroked="f" coordsize="21600,21600">
            <v:path/>
            <v:fill on="f" focussize="0,0"/>
            <v:stroke on="f" joinstyle="miter"/>
            <v:imagedata r:id="rId69" o:title=""/>
            <o:lock v:ext="edit" aspectratio="t"/>
            <w10:wrap type="none"/>
            <w10:anchorlock/>
          </v:shape>
          <o:OLEObject Type="Embed" ProgID="Equation.DSMT4" ShapeID="_x0000_i1048" DrawAspect="Content" ObjectID="_1468075749" r:id="rId68">
            <o:LockedField>false</o:LockedField>
          </o:OLEObject>
        </w:object>
      </w:r>
      <w:r>
        <w:t xml:space="preserve"> 个参数在当前样本上的边际贡献，正值代表提高预测效率或降低损耗，负值代表相反作用。</w:t>
      </w:r>
    </w:p>
    <w:p w14:paraId="77FCF9B8">
      <w:pPr>
        <w:ind w:firstLine="480" w:firstLineChars="200"/>
      </w:pPr>
      <w:r>
        <w:t>与直接读取树模型特征重要性相比，SHAP 同时提供全局和局部解释。全局分析可以统计一批样本中曲率、厚度等参数的平均影响；局部分析可以说明某一个候选方案为什么得到当前预测值，以及某个参数改变后结果向哪个方向变化。</w:t>
      </w:r>
      <w:r>
        <w:rPr>
          <w:rFonts w:hint="eastAsia"/>
        </w:rPr>
        <w:t>输出结果如图n所示。</w:t>
      </w:r>
    </w:p>
    <w:p w14:paraId="3F04F444">
      <w:pPr>
        <w:ind w:firstLine="480" w:firstLineChars="200"/>
      </w:pPr>
      <w:r>
        <w:t>SHAP 结果本身描述的是模型输出贡献，不等同于因果证明。因此，平台将 SHAP 作为参数定位和研究假设生成工具，</w:t>
      </w:r>
      <w:r>
        <w:rPr>
          <w:rFonts w:hint="eastAsia"/>
        </w:rPr>
        <w:t>结合物理公式，</w:t>
      </w:r>
      <w:r>
        <w:t>帮助用户分析高贡献度因素所反映的物理规律</w:t>
      </w:r>
      <w:r>
        <w:rPr>
          <w:rFonts w:hint="eastAsia"/>
        </w:rPr>
        <w:t>。</w:t>
      </w:r>
      <w:r>
        <w:drawing>
          <wp:inline distT="0" distB="0" distL="0" distR="0">
            <wp:extent cx="5940425" cy="3698875"/>
            <wp:effectExtent l="0" t="0" r="3175" b="0"/>
            <wp:docPr id="14194246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4604" name="图片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5940425" cy="3698875"/>
                    </a:xfrm>
                    <a:prstGeom prst="rect">
                      <a:avLst/>
                    </a:prstGeom>
                    <a:noFill/>
                    <a:ln>
                      <a:noFill/>
                    </a:ln>
                  </pic:spPr>
                </pic:pic>
              </a:graphicData>
            </a:graphic>
          </wp:inline>
        </w:drawing>
      </w:r>
    </w:p>
    <w:p w14:paraId="3C1BA840">
      <w:pPr>
        <w:pStyle w:val="9"/>
        <w:ind w:left="480"/>
        <w:jc w:val="center"/>
        <w:rPr>
          <w:rFonts w:hint="eastAsia" w:ascii="宋体" w:hAnsi="宋体"/>
          <w:color w:val="000000"/>
          <w:sz w:val="21"/>
          <w:szCs w:val="21"/>
        </w:rPr>
      </w:pPr>
      <w:r>
        <w:rPr>
          <w:rFonts w:hint="eastAsia" w:ascii="宋体" w:hAnsi="宋体"/>
          <w:color w:val="000000"/>
          <w:sz w:val="21"/>
          <w:szCs w:val="21"/>
        </w:rPr>
        <w:t>图</w:t>
      </w:r>
      <w:r>
        <w:rPr>
          <w:rFonts w:cs="Times New Roman"/>
          <w:color w:val="000000"/>
          <w:sz w:val="21"/>
          <w:szCs w:val="21"/>
        </w:rPr>
        <w:t>3-4 SHAP</w:t>
      </w:r>
      <w:r>
        <w:rPr>
          <w:rFonts w:hint="eastAsia" w:ascii="宋体" w:hAnsi="宋体"/>
          <w:color w:val="000000"/>
          <w:sz w:val="21"/>
          <w:szCs w:val="21"/>
        </w:rPr>
        <w:t>全局贡献重要性排名</w:t>
      </w:r>
    </w:p>
    <w:p w14:paraId="0C126709">
      <w:pPr>
        <w:pStyle w:val="2"/>
        <w:widowControl/>
        <w:spacing w:before="312" w:after="312"/>
      </w:pPr>
      <w:bookmarkStart w:id="38" w:name="_Toc10945"/>
      <w:r>
        <w:t>4</w:t>
      </w:r>
      <w:r>
        <w:rPr>
          <w:rFonts w:hint="eastAsia" w:cs="黑体"/>
        </w:rPr>
        <w:t>仿真平台开发</w:t>
      </w:r>
      <w:bookmarkEnd w:id="38"/>
    </w:p>
    <w:p w14:paraId="39077832">
      <w:pPr>
        <w:keepNext/>
        <w:keepLines/>
        <w:spacing w:before="249" w:beforeLines="80" w:after="249" w:afterLines="80" w:line="410" w:lineRule="auto"/>
        <w:ind w:left="0" w:leftChars="0"/>
        <w:outlineLvl w:val="1"/>
        <w:rPr>
          <w:rFonts w:eastAsia="黑体" w:cs="Times New Roman"/>
          <w:b/>
          <w:color w:val="000000"/>
          <w:sz w:val="30"/>
          <w:szCs w:val="30"/>
        </w:rPr>
      </w:pPr>
      <w:r>
        <w:rPr>
          <w:rFonts w:eastAsia="黑体" w:cs="Times New Roman"/>
          <w:b/>
          <w:sz w:val="30"/>
          <w:szCs w:val="30"/>
          <w:lang w:bidi="ar"/>
        </w:rPr>
        <w:t xml:space="preserve">4.1 </w:t>
      </w:r>
      <w:r>
        <w:rPr>
          <w:rFonts w:hint="eastAsia" w:ascii="黑体" w:hAnsi="宋体" w:eastAsia="黑体" w:cs="Times New Roman"/>
          <w:b/>
          <w:sz w:val="30"/>
          <w:szCs w:val="30"/>
          <w:lang w:bidi="ar"/>
        </w:rPr>
        <w:t>设计思路</w:t>
      </w:r>
    </w:p>
    <w:p w14:paraId="6E9AEB48">
      <w:pPr>
        <w:keepNext/>
        <w:keepLines/>
        <w:spacing w:before="156" w:beforeLines="50" w:after="156" w:afterLines="50" w:line="410" w:lineRule="auto"/>
        <w:ind w:left="0" w:leftChars="0"/>
        <w:outlineLvl w:val="2"/>
        <w:rPr>
          <w:rFonts w:hint="eastAsia" w:ascii="宋体" w:hAnsi="宋体" w:cs="Times New Roman"/>
          <w:color w:val="000000"/>
        </w:rPr>
      </w:pPr>
      <w:r>
        <w:rPr>
          <w:rFonts w:hint="eastAsia" w:ascii="宋体" w:hAnsi="宋体" w:cs="Times New Roman"/>
          <w:lang w:bidi="ar"/>
        </w:rPr>
        <w:t>在系统开发中，我们首先通过深入调研确定选题背景与目标定位——面向激光—透镜组—单模光纤耦合链路，构建集教学演示、参数研究、智能优化于一体的仿真平台，如图35 所示。在此基础上完成了框架设计与模块划分，采用前端界面层、契约接口层、后端任务层、算法业务层、物理核心层五层架构，各层通过统一数据契约解耦。</w:t>
      </w:r>
    </w:p>
    <w:p w14:paraId="4841102F">
      <w:pPr>
        <w:keepNext/>
        <w:keepLines/>
        <w:spacing w:before="156" w:beforeLines="50" w:after="156" w:afterLines="50" w:line="410" w:lineRule="auto"/>
        <w:ind w:left="0" w:leftChars="0"/>
        <w:outlineLvl w:val="2"/>
        <w:rPr>
          <w:rFonts w:hint="eastAsia" w:ascii="宋体" w:hAnsi="宋体" w:cs="Times New Roman"/>
          <w:color w:val="000000"/>
        </w:rPr>
      </w:pPr>
      <w:r>
        <w:rPr>
          <w:rFonts w:hint="eastAsia" w:ascii="宋体" w:hAnsi="宋体" w:cs="Times New Roman"/>
          <w:lang w:bidi="ar"/>
        </w:rPr>
        <w:t>接下来，我们开发了教学内容和仿真流程：教学模块将耦合原理拆解为多个演示场景；仿真流程以场景编译→任务图构建→分流水线求值→结果合并为主线，支持几何、波动与混合分析。在此基础上编写了核心算法，包括未知参数求解（近轴ABCD/q 参数传播反演）、参数影响度分析（一维/二维扫描）和智能参数优化（代理模型粗搜+ Powell 精调+ 独立复核），结果通过光斑、收敛曲线直观展示。</w:t>
      </w:r>
    </w:p>
    <w:p w14:paraId="0316ABA0">
      <w:pPr>
        <w:keepNext/>
        <w:keepLines/>
        <w:spacing w:before="156" w:beforeLines="50" w:after="156" w:afterLines="50" w:line="410" w:lineRule="auto"/>
        <w:ind w:left="0" w:leftChars="0"/>
        <w:outlineLvl w:val="2"/>
        <w:rPr>
          <w:rFonts w:hint="eastAsia" w:ascii="宋体" w:hAnsi="宋体" w:cs="Times New Roman"/>
          <w:color w:val="000000"/>
        </w:rPr>
      </w:pPr>
      <w:r>
        <w:rPr>
          <w:rFonts w:hint="eastAsia" w:ascii="宋体" w:hAnsi="宋体" w:cs="Times New Roman"/>
          <w:lang w:bidi="ar"/>
        </w:rPr>
        <w:t>随后，我们设计了用户界面并实现了各项功能，包括仿真编辑、参数扫描、智能分析与任务管理。最终整合资源，优化了用户体验：面板可折叠、变量表弹窗编辑、异常样本不中断任务、进度实时推送。</w:t>
      </w:r>
    </w:p>
    <w:p w14:paraId="17C2D6B8">
      <w:pPr>
        <w:keepNext/>
        <w:keepLines/>
        <w:spacing w:before="156" w:beforeLines="50" w:after="156" w:afterLines="50" w:line="410" w:lineRule="auto"/>
        <w:ind w:left="0" w:leftChars="0"/>
        <w:outlineLvl w:val="2"/>
        <w:rPr>
          <w:rFonts w:hint="eastAsia" w:ascii="宋体" w:hAnsi="宋体" w:cs="Times New Roman"/>
          <w:color w:val="000000"/>
        </w:rPr>
      </w:pPr>
      <w:r>
        <w:rPr>
          <w:rFonts w:hint="eastAsia" w:ascii="宋体" w:hAnsi="宋体" w:cs="Times New Roman"/>
          <w:lang w:bidi="ar"/>
        </w:rPr>
        <w:drawing>
          <wp:inline distT="0" distB="0" distL="114300" distR="114300">
            <wp:extent cx="5276850" cy="1247775"/>
            <wp:effectExtent l="0" t="0" r="0" b="9525"/>
            <wp:docPr id="2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6"/>
                    <pic:cNvPicPr>
                      <a:picLocks noChangeAspect="1"/>
                    </pic:cNvPicPr>
                  </pic:nvPicPr>
                  <pic:blipFill>
                    <a:blip r:embed="rId71"/>
                    <a:stretch>
                      <a:fillRect/>
                    </a:stretch>
                  </pic:blipFill>
                  <pic:spPr>
                    <a:xfrm>
                      <a:off x="0" y="0"/>
                      <a:ext cx="5276850" cy="1247775"/>
                    </a:xfrm>
                    <a:prstGeom prst="rect">
                      <a:avLst/>
                    </a:prstGeom>
                    <a:noFill/>
                    <a:ln>
                      <a:noFill/>
                    </a:ln>
                  </pic:spPr>
                </pic:pic>
              </a:graphicData>
            </a:graphic>
          </wp:inline>
        </w:drawing>
      </w:r>
      <w:r>
        <w:rPr>
          <w:rFonts w:hint="eastAsia" w:ascii="宋体" w:hAnsi="宋体" w:cs="Times New Roman"/>
          <w:lang w:bidi="ar"/>
        </w:rPr>
        <w:t xml:space="preserve"> </w:t>
      </w:r>
    </w:p>
    <w:p w14:paraId="28B4102A">
      <w:pPr>
        <w:keepNext/>
        <w:keepLines/>
        <w:spacing w:before="156" w:beforeLines="50" w:after="156" w:afterLines="50" w:line="410" w:lineRule="auto"/>
        <w:ind w:left="0" w:leftChars="0"/>
        <w:outlineLvl w:val="2"/>
        <w:rPr>
          <w:rFonts w:hint="eastAsia" w:ascii="宋体" w:hAnsi="宋体" w:cs="Times New Roman"/>
          <w:b/>
          <w:color w:val="000000"/>
        </w:rPr>
      </w:pPr>
      <w:r>
        <w:rPr>
          <w:rFonts w:hint="eastAsia" w:ascii="宋体" w:hAnsi="宋体" w:cs="Times New Roman"/>
          <w:b/>
          <w:lang w:bidi="ar"/>
        </w:rPr>
        <w:t>图35 仿真平台设计流程及模块关系</w:t>
      </w:r>
    </w:p>
    <w:p w14:paraId="1EDCD208">
      <w:pPr>
        <w:keepNext/>
        <w:keepLines/>
        <w:spacing w:before="160" w:after="80" w:line="240" w:lineRule="auto"/>
        <w:ind w:left="0" w:leftChars="0"/>
        <w:jc w:val="both"/>
        <w:outlineLvl w:val="1"/>
        <w:rPr>
          <w:rFonts w:ascii="Calibri" w:hAnsi="Calibri" w:eastAsia="MS Gothic" w:cs="Times New Roman"/>
          <w:b/>
          <w:bCs/>
          <w:color w:val="000000"/>
          <w:kern w:val="0"/>
          <w:sz w:val="28"/>
          <w:szCs w:val="28"/>
        </w:rPr>
      </w:pPr>
      <w:r>
        <w:rPr>
          <w:rFonts w:eastAsia="FandolSong" w:cs="Times New Roman"/>
          <w:b/>
          <w:bCs/>
          <w:kern w:val="0"/>
          <w:sz w:val="28"/>
          <w:szCs w:val="28"/>
          <w:lang w:bidi="ar"/>
        </w:rPr>
        <w:t xml:space="preserve">6.2 </w:t>
      </w:r>
      <w:r>
        <w:rPr>
          <w:rFonts w:hint="eastAsia" w:ascii="宋体" w:hAnsi="宋体" w:cs="宋体"/>
          <w:b/>
          <w:bCs/>
          <w:kern w:val="0"/>
          <w:sz w:val="28"/>
          <w:szCs w:val="28"/>
          <w:lang w:bidi="ar"/>
        </w:rPr>
        <w:t>程序开发流程</w:t>
      </w:r>
    </w:p>
    <w:p w14:paraId="18724E48">
      <w:pPr>
        <w:widowControl/>
        <w:spacing w:line="302" w:lineRule="auto"/>
        <w:ind w:left="0" w:leftChars="0" w:firstLine="420"/>
        <w:jc w:val="both"/>
        <w:rPr>
          <w:rFonts w:eastAsia="FandolSong" w:cs="Times New Roman"/>
          <w:color w:val="auto"/>
          <w:kern w:val="0"/>
          <w:sz w:val="21"/>
          <w:szCs w:val="21"/>
        </w:rPr>
      </w:pPr>
      <w:r>
        <w:rPr>
          <w:rFonts w:hint="eastAsia" w:ascii="宋体" w:hAnsi="宋体" w:cs="宋体"/>
          <w:kern w:val="0"/>
          <w:sz w:val="21"/>
          <w:szCs w:val="21"/>
          <w:lang w:bidi="ar"/>
        </w:rPr>
        <w:t>程序开发流程基于仿真设计、</w:t>
      </w:r>
      <w:r>
        <w:rPr>
          <w:rFonts w:eastAsia="FandolSong" w:cs="Times New Roman"/>
          <w:kern w:val="0"/>
          <w:sz w:val="21"/>
          <w:szCs w:val="21"/>
          <w:lang w:bidi="ar"/>
        </w:rPr>
        <w:t xml:space="preserve">Visual Studio Code </w:t>
      </w:r>
      <w:r>
        <w:rPr>
          <w:rFonts w:hint="eastAsia" w:ascii="宋体" w:hAnsi="宋体" w:cs="宋体"/>
          <w:kern w:val="0"/>
          <w:sz w:val="21"/>
          <w:szCs w:val="21"/>
          <w:lang w:bidi="ar"/>
        </w:rPr>
        <w:t>代码编写、通过</w:t>
      </w:r>
      <w:r>
        <w:rPr>
          <w:rFonts w:eastAsia="FandolSong" w:cs="Times New Roman"/>
          <w:kern w:val="0"/>
          <w:sz w:val="21"/>
          <w:szCs w:val="21"/>
          <w:lang w:bidi="ar"/>
        </w:rPr>
        <w:t xml:space="preserve">Python </w:t>
      </w:r>
      <w:r>
        <w:rPr>
          <w:rFonts w:hint="eastAsia" w:ascii="宋体" w:hAnsi="宋体" w:cs="宋体"/>
          <w:kern w:val="0"/>
          <w:sz w:val="21"/>
          <w:szCs w:val="21"/>
          <w:lang w:bidi="ar"/>
        </w:rPr>
        <w:t>编写</w:t>
      </w:r>
      <w:r>
        <w:rPr>
          <w:rFonts w:eastAsia="FandolSong" w:cs="Times New Roman"/>
          <w:kern w:val="0"/>
          <w:sz w:val="21"/>
          <w:szCs w:val="21"/>
          <w:lang w:bidi="ar"/>
        </w:rPr>
        <w:t xml:space="preserve">FastAPI </w:t>
      </w:r>
      <w:r>
        <w:rPr>
          <w:rFonts w:hint="eastAsia" w:ascii="宋体" w:hAnsi="宋体" w:cs="宋体"/>
          <w:kern w:val="0"/>
          <w:sz w:val="21"/>
          <w:szCs w:val="21"/>
          <w:lang w:bidi="ar"/>
        </w:rPr>
        <w:t>后端、</w:t>
      </w:r>
      <w:r>
        <w:rPr>
          <w:rFonts w:eastAsia="FandolSong" w:cs="Times New Roman"/>
          <w:kern w:val="0"/>
          <w:sz w:val="21"/>
          <w:szCs w:val="21"/>
          <w:lang w:bidi="ar"/>
        </w:rPr>
        <w:t xml:space="preserve">PySide6 </w:t>
      </w:r>
      <w:r>
        <w:rPr>
          <w:rFonts w:hint="eastAsia" w:ascii="宋体" w:hAnsi="宋体" w:cs="宋体"/>
          <w:kern w:val="0"/>
          <w:sz w:val="21"/>
          <w:szCs w:val="21"/>
          <w:lang w:bidi="ar"/>
        </w:rPr>
        <w:t>前端及仿真引擎，通过</w:t>
      </w:r>
      <w:r>
        <w:rPr>
          <w:rFonts w:eastAsia="FandolSong" w:cs="Times New Roman"/>
          <w:kern w:val="0"/>
          <w:sz w:val="21"/>
          <w:szCs w:val="21"/>
          <w:lang w:bidi="ar"/>
        </w:rPr>
        <w:t xml:space="preserve">Zemax </w:t>
      </w:r>
      <w:r>
        <w:rPr>
          <w:rFonts w:hint="eastAsia" w:ascii="宋体" w:hAnsi="宋体" w:cs="宋体"/>
          <w:kern w:val="0"/>
          <w:sz w:val="21"/>
          <w:szCs w:val="21"/>
          <w:lang w:bidi="ar"/>
        </w:rPr>
        <w:t>进行验证仿真，通过</w:t>
      </w:r>
      <w:r>
        <w:rPr>
          <w:rFonts w:eastAsia="FandolSong" w:cs="Times New Roman"/>
          <w:kern w:val="0"/>
          <w:sz w:val="21"/>
          <w:szCs w:val="21"/>
          <w:lang w:bidi="ar"/>
        </w:rPr>
        <w:t xml:space="preserve">GitHub </w:t>
      </w:r>
      <w:r>
        <w:rPr>
          <w:rFonts w:hint="eastAsia" w:ascii="宋体" w:hAnsi="宋体" w:cs="宋体"/>
          <w:kern w:val="0"/>
          <w:sz w:val="21"/>
          <w:szCs w:val="21"/>
          <w:lang w:bidi="ar"/>
        </w:rPr>
        <w:t>仓库来协作代码管理。程序开发流程如图</w:t>
      </w:r>
      <w:r>
        <w:rPr>
          <w:rFonts w:eastAsia="FandolSong" w:cs="Times New Roman"/>
          <w:kern w:val="0"/>
          <w:sz w:val="21"/>
          <w:szCs w:val="21"/>
          <w:lang w:bidi="ar"/>
        </w:rPr>
        <w:t>36</w:t>
      </w:r>
      <w:r>
        <w:rPr>
          <w:rFonts w:hint="eastAsia" w:ascii="宋体" w:hAnsi="宋体" w:cs="宋体"/>
          <w:kern w:val="0"/>
          <w:sz w:val="21"/>
          <w:szCs w:val="21"/>
          <w:lang w:bidi="ar"/>
        </w:rPr>
        <w:t>所示。</w:t>
      </w:r>
    </w:p>
    <w:p w14:paraId="7431DDAB">
      <w:pPr>
        <w:widowControl/>
        <w:spacing w:line="302" w:lineRule="auto"/>
        <w:ind w:left="0" w:leftChars="0" w:firstLine="420"/>
        <w:jc w:val="both"/>
        <w:rPr>
          <w:rFonts w:eastAsia="FandolSong" w:cs="Times New Roman"/>
          <w:color w:val="auto"/>
          <w:kern w:val="0"/>
          <w:sz w:val="21"/>
          <w:szCs w:val="21"/>
        </w:rPr>
      </w:pPr>
      <w:r>
        <w:rPr>
          <w:rFonts w:eastAsia="FandolSong" w:cs="Times New Roman"/>
          <w:sz w:val="21"/>
          <w:szCs w:val="21"/>
          <w:lang w:bidi="ar"/>
        </w:rPr>
        <w:br w:type="page"/>
      </w:r>
      <w:r>
        <w:rPr>
          <w:rFonts w:eastAsia="FandolSong" w:cs="Times New Roman"/>
          <w:kern w:val="0"/>
          <w:sz w:val="21"/>
          <w:szCs w:val="21"/>
          <w:lang w:bidi="ar"/>
        </w:rPr>
        <w:drawing>
          <wp:inline distT="0" distB="0" distL="114300" distR="114300">
            <wp:extent cx="5095875" cy="3800475"/>
            <wp:effectExtent l="0" t="0" r="9525" b="952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72"/>
                    <a:stretch>
                      <a:fillRect/>
                    </a:stretch>
                  </pic:blipFill>
                  <pic:spPr>
                    <a:xfrm>
                      <a:off x="0" y="0"/>
                      <a:ext cx="5095875" cy="3800475"/>
                    </a:xfrm>
                    <a:prstGeom prst="rect">
                      <a:avLst/>
                    </a:prstGeom>
                    <a:noFill/>
                    <a:ln>
                      <a:noFill/>
                    </a:ln>
                  </pic:spPr>
                </pic:pic>
              </a:graphicData>
            </a:graphic>
          </wp:inline>
        </w:drawing>
      </w:r>
      <w:r>
        <w:rPr>
          <w:rFonts w:eastAsia="FandolSong" w:cs="Times New Roman"/>
          <w:kern w:val="0"/>
          <w:sz w:val="21"/>
          <w:szCs w:val="21"/>
          <w:lang w:bidi="ar"/>
        </w:rPr>
        <w:t xml:space="preserve"> </w:t>
      </w:r>
    </w:p>
    <w:p w14:paraId="3811EE32">
      <w:pPr>
        <w:keepNext/>
        <w:widowControl/>
        <w:spacing w:before="40" w:after="60" w:line="271" w:lineRule="auto"/>
        <w:ind w:left="0" w:leftChars="0"/>
        <w:jc w:val="center"/>
        <w:rPr>
          <w:rFonts w:eastAsia="FandolSong" w:cs="Times New Roman"/>
          <w:b/>
          <w:color w:val="auto"/>
          <w:kern w:val="0"/>
          <w:sz w:val="19"/>
          <w:szCs w:val="19"/>
        </w:rPr>
      </w:pPr>
      <w:r>
        <w:rPr>
          <w:rFonts w:hint="eastAsia" w:ascii="宋体" w:hAnsi="宋体" w:cs="宋体"/>
          <w:b/>
          <w:kern w:val="0"/>
          <w:sz w:val="19"/>
          <w:szCs w:val="19"/>
          <w:lang w:bidi="ar"/>
        </w:rPr>
        <w:t>图</w:t>
      </w:r>
      <w:r>
        <w:rPr>
          <w:rFonts w:eastAsia="FandolSong" w:cs="Times New Roman"/>
          <w:b/>
          <w:kern w:val="0"/>
          <w:sz w:val="19"/>
          <w:szCs w:val="19"/>
          <w:lang w:bidi="ar"/>
        </w:rPr>
        <w:t xml:space="preserve">36 </w:t>
      </w:r>
      <w:r>
        <w:rPr>
          <w:rFonts w:hint="eastAsia" w:ascii="宋体" w:hAnsi="宋体" w:cs="宋体"/>
          <w:b/>
          <w:kern w:val="0"/>
          <w:sz w:val="19"/>
          <w:szCs w:val="19"/>
          <w:lang w:bidi="ar"/>
        </w:rPr>
        <w:t>程序开发流程与验证环节</w:t>
      </w:r>
    </w:p>
    <w:p w14:paraId="22EBBE6C">
      <w:pPr>
        <w:keepNext/>
        <w:keepLines/>
        <w:spacing w:before="160" w:after="80" w:line="240" w:lineRule="auto"/>
        <w:ind w:left="0" w:leftChars="0"/>
        <w:jc w:val="both"/>
        <w:outlineLvl w:val="1"/>
        <w:rPr>
          <w:rFonts w:ascii="Calibri" w:hAnsi="Calibri" w:eastAsia="MS Gothic" w:cs="Times New Roman"/>
          <w:b/>
          <w:bCs/>
          <w:color w:val="000000"/>
          <w:kern w:val="0"/>
          <w:sz w:val="28"/>
          <w:szCs w:val="28"/>
        </w:rPr>
      </w:pPr>
      <w:r>
        <w:rPr>
          <w:rFonts w:eastAsia="FandolSong" w:cs="Times New Roman"/>
          <w:b/>
          <w:bCs/>
          <w:kern w:val="0"/>
          <w:sz w:val="28"/>
          <w:szCs w:val="28"/>
          <w:lang w:bidi="ar"/>
        </w:rPr>
        <w:t xml:space="preserve">6.3 </w:t>
      </w:r>
      <w:r>
        <w:rPr>
          <w:rFonts w:hint="eastAsia" w:ascii="宋体" w:hAnsi="宋体" w:cs="宋体"/>
          <w:b/>
          <w:bCs/>
          <w:kern w:val="0"/>
          <w:sz w:val="28"/>
          <w:szCs w:val="28"/>
          <w:lang w:bidi="ar"/>
        </w:rPr>
        <w:t>程序代码编写</w:t>
      </w:r>
    </w:p>
    <w:p w14:paraId="48F4E8EF">
      <w:pPr>
        <w:widowControl/>
        <w:spacing w:line="302" w:lineRule="auto"/>
        <w:ind w:left="0" w:leftChars="0" w:firstLine="420"/>
        <w:jc w:val="both"/>
        <w:rPr>
          <w:rFonts w:eastAsia="FandolSong" w:cs="Times New Roman"/>
          <w:color w:val="auto"/>
          <w:kern w:val="0"/>
          <w:sz w:val="21"/>
          <w:szCs w:val="21"/>
        </w:rPr>
      </w:pPr>
      <w:r>
        <w:rPr>
          <w:rFonts w:hint="eastAsia" w:ascii="宋体" w:hAnsi="宋体" w:cs="宋体"/>
          <w:kern w:val="0"/>
          <w:sz w:val="21"/>
          <w:szCs w:val="21"/>
          <w:lang w:bidi="ar"/>
        </w:rPr>
        <w:t>本系统针对激光</w:t>
      </w:r>
      <w:r>
        <w:rPr>
          <w:rFonts w:eastAsia="FandolSong" w:cs="Times New Roman"/>
          <w:kern w:val="0"/>
          <w:sz w:val="21"/>
          <w:szCs w:val="21"/>
          <w:lang w:bidi="ar"/>
        </w:rPr>
        <w:t>—</w:t>
      </w:r>
      <w:r>
        <w:rPr>
          <w:rFonts w:hint="eastAsia" w:ascii="宋体" w:hAnsi="宋体" w:cs="宋体"/>
          <w:kern w:val="0"/>
          <w:sz w:val="21"/>
          <w:szCs w:val="21"/>
          <w:lang w:bidi="ar"/>
        </w:rPr>
        <w:t>透镜组</w:t>
      </w:r>
      <w:r>
        <w:rPr>
          <w:rFonts w:eastAsia="FandolSong" w:cs="Times New Roman"/>
          <w:kern w:val="0"/>
          <w:sz w:val="21"/>
          <w:szCs w:val="21"/>
          <w:lang w:bidi="ar"/>
        </w:rPr>
        <w:t>—</w:t>
      </w:r>
      <w:r>
        <w:rPr>
          <w:rFonts w:hint="eastAsia" w:ascii="宋体" w:hAnsi="宋体" w:cs="宋体"/>
          <w:kern w:val="0"/>
          <w:sz w:val="21"/>
          <w:szCs w:val="21"/>
          <w:lang w:bidi="ar"/>
        </w:rPr>
        <w:t>单模光纤耦合的失配问题，建立了一系列近轴光学与波动光学传播模型。研究初期，我们基于</w:t>
      </w:r>
      <w:r>
        <w:rPr>
          <w:rFonts w:eastAsia="FandolSong" w:cs="Times New Roman"/>
          <w:kern w:val="0"/>
          <w:sz w:val="21"/>
          <w:szCs w:val="21"/>
          <w:lang w:bidi="ar"/>
        </w:rPr>
        <w:t xml:space="preserve">Python </w:t>
      </w:r>
      <w:r>
        <w:rPr>
          <w:rFonts w:hint="eastAsia" w:ascii="宋体" w:hAnsi="宋体" w:cs="宋体"/>
          <w:kern w:val="0"/>
          <w:sz w:val="21"/>
          <w:szCs w:val="21"/>
          <w:lang w:bidi="ar"/>
        </w:rPr>
        <w:t>平台开发了包括</w:t>
      </w:r>
      <w:r>
        <w:rPr>
          <w:rFonts w:eastAsia="FandolSong" w:cs="Times New Roman"/>
          <w:kern w:val="0"/>
          <w:sz w:val="21"/>
          <w:szCs w:val="21"/>
          <w:lang w:bidi="ar"/>
        </w:rPr>
        <w:t>paraxial.py</w:t>
      </w:r>
      <w:r>
        <w:rPr>
          <w:rFonts w:hint="eastAsia" w:ascii="宋体" w:hAnsi="宋体" w:cs="宋体"/>
          <w:kern w:val="0"/>
          <w:sz w:val="21"/>
          <w:szCs w:val="21"/>
          <w:lang w:bidi="ar"/>
        </w:rPr>
        <w:t>（高斯光束传输）、</w:t>
      </w:r>
      <w:r>
        <w:rPr>
          <w:rFonts w:eastAsia="FandolSong" w:cs="Times New Roman"/>
          <w:kern w:val="0"/>
          <w:sz w:val="21"/>
          <w:szCs w:val="21"/>
          <w:lang w:bidi="ar"/>
        </w:rPr>
        <w:t>snell.py</w:t>
      </w:r>
      <w:r>
        <w:rPr>
          <w:rFonts w:hint="eastAsia" w:ascii="宋体" w:hAnsi="宋体" w:cs="宋体"/>
          <w:kern w:val="0"/>
          <w:sz w:val="21"/>
          <w:szCs w:val="21"/>
          <w:lang w:bidi="ar"/>
        </w:rPr>
        <w:t>（光线追迹）、</w:t>
      </w:r>
      <w:r>
        <w:rPr>
          <w:rFonts w:eastAsia="FandolSong" w:cs="Times New Roman"/>
          <w:kern w:val="0"/>
          <w:sz w:val="21"/>
          <w:szCs w:val="21"/>
          <w:lang w:bidi="ar"/>
        </w:rPr>
        <w:t>hybrid_pipeline.py</w:t>
      </w:r>
      <w:r>
        <w:rPr>
          <w:rFonts w:hint="eastAsia" w:ascii="宋体" w:hAnsi="宋体" w:cs="宋体"/>
          <w:kern w:val="0"/>
          <w:sz w:val="21"/>
          <w:szCs w:val="21"/>
          <w:lang w:bidi="ar"/>
        </w:rPr>
        <w:t>（波动场传播）等核心文件，完整描述了光束在透镜组中经折射、衍射到达光纤端面的全过程，涵盖束腰演化、波前曲率、模场失配等关键因素。采用复场重叠积分实现高精度耦合效率求解，完成初步参数敏感性分析和结果可视化，通过改变单一变量对束腰半径、透镜曲率、空气间隔、光纤轴向位置等主要因素进行仿真分析及图像展示。部分核心计算脚本如图</w:t>
      </w:r>
      <w:r>
        <w:rPr>
          <w:rFonts w:eastAsia="FandolSong" w:cs="Times New Roman"/>
          <w:kern w:val="0"/>
          <w:sz w:val="21"/>
          <w:szCs w:val="21"/>
          <w:lang w:bidi="ar"/>
        </w:rPr>
        <w:t>37</w:t>
      </w:r>
      <w:r>
        <w:rPr>
          <w:rFonts w:hint="eastAsia" w:ascii="宋体" w:hAnsi="宋体" w:cs="宋体"/>
          <w:kern w:val="0"/>
          <w:sz w:val="21"/>
          <w:szCs w:val="21"/>
          <w:lang w:bidi="ar"/>
        </w:rPr>
        <w:t>所示。</w:t>
      </w:r>
    </w:p>
    <w:p w14:paraId="7698FF66">
      <w:pPr>
        <w:widowControl/>
        <w:spacing w:line="302" w:lineRule="auto"/>
        <w:ind w:left="0" w:leftChars="0" w:firstLine="420"/>
        <w:jc w:val="both"/>
        <w:rPr>
          <w:rFonts w:eastAsia="FandolSong" w:cs="Times New Roman"/>
          <w:color w:val="auto"/>
          <w:kern w:val="0"/>
          <w:sz w:val="21"/>
          <w:szCs w:val="21"/>
        </w:rPr>
      </w:pPr>
      <w:r>
        <w:rPr>
          <w:rFonts w:eastAsia="FandolSong" w:cs="Times New Roman"/>
          <w:sz w:val="21"/>
          <w:szCs w:val="21"/>
          <w:lang w:bidi="ar"/>
        </w:rPr>
        <w:br w:type="page"/>
      </w:r>
    </w:p>
    <w:p w14:paraId="668ADF71">
      <w:pPr>
        <w:keepNext/>
        <w:widowControl/>
        <w:spacing w:before="40" w:after="40" w:line="302" w:lineRule="auto"/>
        <w:ind w:left="0" w:leftChars="0"/>
        <w:jc w:val="center"/>
        <w:rPr>
          <w:rFonts w:eastAsia="FandolSong" w:cs="Times New Roman"/>
          <w:color w:val="auto"/>
          <w:kern w:val="0"/>
          <w:sz w:val="21"/>
          <w:szCs w:val="21"/>
        </w:rPr>
      </w:pPr>
      <w:r>
        <w:rPr>
          <w:rFonts w:eastAsia="FandolSong" w:cs="Times New Roman"/>
          <w:kern w:val="0"/>
          <w:sz w:val="21"/>
          <w:szCs w:val="21"/>
          <w:lang w:bidi="ar"/>
        </w:rPr>
        <w:drawing>
          <wp:inline distT="0" distB="0" distL="114300" distR="114300">
            <wp:extent cx="5648325" cy="2828925"/>
            <wp:effectExtent l="0" t="0" r="9525" b="952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73"/>
                    <a:stretch>
                      <a:fillRect/>
                    </a:stretch>
                  </pic:blipFill>
                  <pic:spPr>
                    <a:xfrm>
                      <a:off x="0" y="0"/>
                      <a:ext cx="5648325" cy="2828925"/>
                    </a:xfrm>
                    <a:prstGeom prst="rect">
                      <a:avLst/>
                    </a:prstGeom>
                    <a:noFill/>
                    <a:ln>
                      <a:noFill/>
                    </a:ln>
                  </pic:spPr>
                </pic:pic>
              </a:graphicData>
            </a:graphic>
          </wp:inline>
        </w:drawing>
      </w:r>
      <w:r>
        <w:rPr>
          <w:rFonts w:eastAsia="FandolSong" w:cs="Times New Roman"/>
          <w:kern w:val="0"/>
          <w:sz w:val="21"/>
          <w:szCs w:val="21"/>
          <w:lang w:bidi="ar"/>
        </w:rPr>
        <w:t xml:space="preserve"> </w:t>
      </w:r>
    </w:p>
    <w:p w14:paraId="78AAE7C3">
      <w:pPr>
        <w:keepNext/>
        <w:widowControl/>
        <w:spacing w:before="40" w:after="60" w:line="271" w:lineRule="auto"/>
        <w:ind w:left="0" w:leftChars="0"/>
        <w:jc w:val="center"/>
        <w:rPr>
          <w:rFonts w:eastAsia="FandolSong" w:cs="Times New Roman"/>
          <w:b/>
          <w:color w:val="auto"/>
          <w:kern w:val="0"/>
          <w:sz w:val="19"/>
          <w:szCs w:val="19"/>
        </w:rPr>
      </w:pPr>
      <w:r>
        <w:rPr>
          <w:rFonts w:hint="eastAsia" w:ascii="宋体" w:hAnsi="宋体" w:cs="宋体"/>
          <w:b/>
          <w:kern w:val="0"/>
          <w:sz w:val="19"/>
          <w:szCs w:val="19"/>
          <w:lang w:bidi="ar"/>
        </w:rPr>
        <w:t>图</w:t>
      </w:r>
      <w:r>
        <w:rPr>
          <w:rFonts w:eastAsia="FandolSong" w:cs="Times New Roman"/>
          <w:b/>
          <w:kern w:val="0"/>
          <w:sz w:val="19"/>
          <w:szCs w:val="19"/>
          <w:lang w:bidi="ar"/>
        </w:rPr>
        <w:t xml:space="preserve">37 </w:t>
      </w:r>
      <w:r>
        <w:rPr>
          <w:rFonts w:hint="eastAsia" w:ascii="宋体" w:hAnsi="宋体" w:cs="宋体"/>
          <w:b/>
          <w:kern w:val="0"/>
          <w:sz w:val="19"/>
          <w:szCs w:val="19"/>
          <w:lang w:bidi="ar"/>
        </w:rPr>
        <w:t>核心计算脚本及其对应功能</w:t>
      </w:r>
    </w:p>
    <w:p w14:paraId="4F8A0B64">
      <w:pPr>
        <w:widowControl/>
        <w:spacing w:line="302" w:lineRule="auto"/>
        <w:ind w:left="0" w:leftChars="0" w:firstLine="420"/>
        <w:jc w:val="both"/>
        <w:rPr>
          <w:rFonts w:eastAsia="FandolSong" w:cs="Times New Roman"/>
          <w:color w:val="auto"/>
          <w:kern w:val="0"/>
          <w:sz w:val="21"/>
          <w:szCs w:val="21"/>
        </w:rPr>
      </w:pPr>
      <w:r>
        <w:rPr>
          <w:rFonts w:hint="eastAsia" w:ascii="宋体" w:hAnsi="宋体" w:cs="宋体"/>
          <w:kern w:val="0"/>
          <w:sz w:val="21"/>
          <w:szCs w:val="21"/>
          <w:lang w:bidi="ar"/>
        </w:rPr>
        <w:t>为构建更完善的用户界面和增强系统扩展性，我们在物理核心之上搭建分层架构：</w:t>
      </w:r>
      <w:r>
        <w:rPr>
          <w:rFonts w:eastAsia="FandolSong" w:cs="Times New Roman"/>
          <w:kern w:val="0"/>
          <w:sz w:val="21"/>
          <w:szCs w:val="21"/>
          <w:lang w:bidi="ar"/>
        </w:rPr>
        <w:t xml:space="preserve"> request_compiler.py </w:t>
      </w:r>
      <w:r>
        <w:rPr>
          <w:rFonts w:hint="eastAsia" w:ascii="宋体" w:hAnsi="宋体" w:cs="宋体"/>
          <w:kern w:val="0"/>
          <w:sz w:val="21"/>
          <w:szCs w:val="21"/>
          <w:lang w:bidi="ar"/>
        </w:rPr>
        <w:t>编译仿真场景、</w:t>
      </w:r>
      <w:r>
        <w:rPr>
          <w:rFonts w:eastAsia="FandolSong" w:cs="Times New Roman"/>
          <w:kern w:val="0"/>
          <w:sz w:val="21"/>
          <w:szCs w:val="21"/>
          <w:lang w:bidi="ar"/>
        </w:rPr>
        <w:t xml:space="preserve">engine.py </w:t>
      </w:r>
      <w:r>
        <w:rPr>
          <w:rFonts w:hint="eastAsia" w:ascii="宋体" w:hAnsi="宋体" w:cs="宋体"/>
          <w:kern w:val="0"/>
          <w:sz w:val="21"/>
          <w:szCs w:val="21"/>
          <w:lang w:bidi="ar"/>
        </w:rPr>
        <w:t>按任务图调度流水线、</w:t>
      </w:r>
      <w:r>
        <w:rPr>
          <w:rFonts w:eastAsia="FandolSong" w:cs="Times New Roman"/>
          <w:kern w:val="0"/>
          <w:sz w:val="21"/>
          <w:szCs w:val="21"/>
          <w:lang w:bidi="ar"/>
        </w:rPr>
        <w:t xml:space="preserve">hybrid_search.py </w:t>
      </w:r>
      <w:r>
        <w:rPr>
          <w:rFonts w:hint="eastAsia" w:ascii="宋体" w:hAnsi="宋体" w:cs="宋体"/>
          <w:kern w:val="0"/>
          <w:sz w:val="21"/>
          <w:szCs w:val="21"/>
          <w:lang w:bidi="ar"/>
        </w:rPr>
        <w:t>实现代理模型辅助的混合优化，前端基于</w:t>
      </w:r>
      <w:r>
        <w:rPr>
          <w:rFonts w:eastAsia="FandolSong" w:cs="Times New Roman"/>
          <w:kern w:val="0"/>
          <w:sz w:val="21"/>
          <w:szCs w:val="21"/>
          <w:lang w:bidi="ar"/>
        </w:rPr>
        <w:t xml:space="preserve">PySide6 </w:t>
      </w:r>
      <w:r>
        <w:rPr>
          <w:rFonts w:hint="eastAsia" w:ascii="宋体" w:hAnsi="宋体" w:cs="宋体"/>
          <w:kern w:val="0"/>
          <w:sz w:val="21"/>
          <w:szCs w:val="21"/>
          <w:lang w:bidi="ar"/>
        </w:rPr>
        <w:t>开发交互式界面，实现光学系统编辑、参数扫描、智能分析与任务管理。开发过程中采用模块化设计思想，确保各模块既独立又可协同；系统完成后进行了试用并对不足进行修复完善。平台总体结构如图</w:t>
      </w:r>
      <w:r>
        <w:rPr>
          <w:rFonts w:eastAsia="FandolSong" w:cs="Times New Roman"/>
          <w:kern w:val="0"/>
          <w:sz w:val="21"/>
          <w:szCs w:val="21"/>
          <w:lang w:bidi="ar"/>
        </w:rPr>
        <w:t>38</w:t>
      </w:r>
      <w:r>
        <w:rPr>
          <w:rFonts w:hint="eastAsia" w:ascii="宋体" w:hAnsi="宋体" w:cs="宋体"/>
          <w:kern w:val="0"/>
          <w:sz w:val="21"/>
          <w:szCs w:val="21"/>
          <w:lang w:bidi="ar"/>
        </w:rPr>
        <w:t>所示。</w:t>
      </w:r>
    </w:p>
    <w:p w14:paraId="7DE3D65D">
      <w:pPr>
        <w:keepNext/>
        <w:widowControl/>
        <w:spacing w:before="40" w:after="40" w:line="302" w:lineRule="auto"/>
        <w:ind w:left="0" w:leftChars="0"/>
        <w:jc w:val="center"/>
        <w:rPr>
          <w:rFonts w:eastAsia="FandolSong" w:cs="Times New Roman"/>
          <w:color w:val="auto"/>
          <w:kern w:val="0"/>
          <w:sz w:val="21"/>
          <w:szCs w:val="21"/>
        </w:rPr>
      </w:pPr>
      <w:r>
        <w:rPr>
          <w:rFonts w:eastAsia="FandolSong" w:cs="Times New Roman"/>
          <w:kern w:val="0"/>
          <w:sz w:val="21"/>
          <w:szCs w:val="21"/>
          <w:lang w:bidi="ar"/>
        </w:rPr>
        <w:drawing>
          <wp:inline distT="0" distB="0" distL="114300" distR="114300">
            <wp:extent cx="4572000" cy="3086100"/>
            <wp:effectExtent l="0" t="0" r="0"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74"/>
                    <a:stretch>
                      <a:fillRect/>
                    </a:stretch>
                  </pic:blipFill>
                  <pic:spPr>
                    <a:xfrm>
                      <a:off x="0" y="0"/>
                      <a:ext cx="4572000" cy="3086100"/>
                    </a:xfrm>
                    <a:prstGeom prst="rect">
                      <a:avLst/>
                    </a:prstGeom>
                    <a:noFill/>
                    <a:ln>
                      <a:noFill/>
                    </a:ln>
                  </pic:spPr>
                </pic:pic>
              </a:graphicData>
            </a:graphic>
          </wp:inline>
        </w:drawing>
      </w:r>
      <w:r>
        <w:rPr>
          <w:rFonts w:eastAsia="FandolSong" w:cs="Times New Roman"/>
          <w:kern w:val="0"/>
          <w:sz w:val="21"/>
          <w:szCs w:val="21"/>
          <w:lang w:bidi="ar"/>
        </w:rPr>
        <w:t xml:space="preserve"> </w:t>
      </w:r>
    </w:p>
    <w:p w14:paraId="28A3A23A">
      <w:pPr>
        <w:keepNext/>
        <w:widowControl/>
        <w:spacing w:before="40" w:after="60" w:line="271" w:lineRule="auto"/>
        <w:ind w:left="0" w:leftChars="0"/>
        <w:jc w:val="center"/>
        <w:rPr>
          <w:rFonts w:eastAsia="FandolSong" w:cs="Times New Roman"/>
          <w:b/>
          <w:color w:val="auto"/>
          <w:kern w:val="0"/>
          <w:sz w:val="19"/>
          <w:szCs w:val="19"/>
        </w:rPr>
      </w:pPr>
      <w:r>
        <w:rPr>
          <w:rFonts w:hint="eastAsia" w:ascii="宋体" w:hAnsi="宋体" w:cs="宋体"/>
          <w:b/>
          <w:kern w:val="0"/>
          <w:sz w:val="19"/>
          <w:szCs w:val="19"/>
          <w:lang w:bidi="ar"/>
        </w:rPr>
        <w:t>图</w:t>
      </w:r>
      <w:r>
        <w:rPr>
          <w:rFonts w:eastAsia="FandolSong" w:cs="Times New Roman"/>
          <w:b/>
          <w:kern w:val="0"/>
          <w:sz w:val="19"/>
          <w:szCs w:val="19"/>
          <w:lang w:bidi="ar"/>
        </w:rPr>
        <w:t xml:space="preserve">38 </w:t>
      </w:r>
      <w:r>
        <w:rPr>
          <w:rFonts w:hint="eastAsia" w:ascii="宋体" w:hAnsi="宋体" w:cs="宋体"/>
          <w:b/>
          <w:kern w:val="0"/>
          <w:sz w:val="19"/>
          <w:szCs w:val="19"/>
          <w:lang w:bidi="ar"/>
        </w:rPr>
        <w:t>平台总体结构与模块分层</w:t>
      </w:r>
    </w:p>
    <w:p w14:paraId="2893490A">
      <w:pPr>
        <w:keepNext/>
        <w:keepLines/>
        <w:spacing w:before="156" w:beforeLines="50" w:after="156" w:afterLines="50" w:line="410" w:lineRule="auto"/>
        <w:ind w:left="0" w:leftChars="0"/>
        <w:outlineLvl w:val="2"/>
        <w:rPr>
          <w:rFonts w:eastAsia="黑体" w:cs="Times New Roman"/>
          <w:b/>
          <w:color w:val="000000"/>
          <w:sz w:val="28"/>
          <w:szCs w:val="28"/>
        </w:rPr>
      </w:pPr>
      <w:r>
        <w:rPr>
          <w:rFonts w:eastAsia="黑体" w:cs="Times New Roman"/>
          <w:b/>
          <w:sz w:val="28"/>
          <w:szCs w:val="28"/>
          <w:lang w:bidi="ar"/>
        </w:rPr>
        <w:t xml:space="preserve">4.1.2 </w:t>
      </w:r>
      <w:r>
        <w:rPr>
          <w:rFonts w:hint="eastAsia" w:ascii="黑体" w:hAnsi="宋体" w:eastAsia="黑体" w:cs="Times New Roman"/>
          <w:b/>
          <w:sz w:val="28"/>
          <w:szCs w:val="28"/>
          <w:lang w:bidi="ar"/>
        </w:rPr>
        <w:t>平台架构</w:t>
      </w:r>
    </w:p>
    <w:p w14:paraId="3565C06D">
      <w:pPr>
        <w:rPr>
          <w:rFonts w:cs="Times New Roman"/>
          <w:color w:val="000000"/>
        </w:rPr>
      </w:pPr>
      <w:r>
        <w:rPr>
          <w:rFonts w:hint="eastAsia" w:ascii="宋体" w:hAnsi="宋体" w:cs="Times New Roman"/>
          <w:lang w:bidi="ar"/>
        </w:rPr>
        <w:t>平台采用前端交互、后端服务、物理仿真、智能分析和教学建模协同的分层架构。前端负责工程编辑、任务提交和结果可视化；后端负责任务队列、状态管理和结果持久化；物理仿真层完成光线追迹、复场传播和模式重叠；智能分析层提供数据集、代理模型、优化和</w:t>
      </w:r>
      <w:r>
        <w:rPr>
          <w:rFonts w:cs="Times New Roman"/>
          <w:lang w:bidi="ar"/>
        </w:rPr>
        <w:t xml:space="preserve"> SHAP</w:t>
      </w:r>
      <w:r>
        <w:rPr>
          <w:rFonts w:hint="eastAsia" w:ascii="宋体" w:hAnsi="宋体" w:cs="Times New Roman"/>
          <w:lang w:bidi="ar"/>
        </w:rPr>
        <w:t>；教学建模层提供器材拖拽、场景演示和同步到正式仿真的入口。</w:t>
      </w:r>
    </w:p>
    <w:p w14:paraId="1B93ED7E">
      <w:pPr>
        <w:jc w:val="center"/>
        <w:rPr>
          <w:rFonts w:cs="Times New Roman"/>
          <w:color w:val="000000"/>
        </w:rPr>
      </w:pPr>
      <w:r>
        <w:rPr>
          <w:rFonts w:cs="Times New Roman"/>
          <w:lang w:bidi="ar"/>
        </w:rPr>
        <w:drawing>
          <wp:inline distT="0" distB="0" distL="114300" distR="114300">
            <wp:extent cx="5705475" cy="1247775"/>
            <wp:effectExtent l="0" t="0" r="9525" b="9525"/>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75"/>
                    <a:stretch>
                      <a:fillRect/>
                    </a:stretch>
                  </pic:blipFill>
                  <pic:spPr>
                    <a:xfrm>
                      <a:off x="0" y="0"/>
                      <a:ext cx="5705475" cy="1247775"/>
                    </a:xfrm>
                    <a:prstGeom prst="rect">
                      <a:avLst/>
                    </a:prstGeom>
                    <a:noFill/>
                    <a:ln>
                      <a:noFill/>
                    </a:ln>
                  </pic:spPr>
                </pic:pic>
              </a:graphicData>
            </a:graphic>
          </wp:inline>
        </w:drawing>
      </w:r>
      <w:r>
        <w:rPr>
          <w:rFonts w:cs="Times New Roman"/>
          <w:lang w:bidi="ar"/>
        </w:rPr>
        <w:t xml:space="preserve"> </w:t>
      </w:r>
    </w:p>
    <w:p w14:paraId="150AB0BA">
      <w:pPr>
        <w:jc w:val="center"/>
        <w:rPr>
          <w:rFonts w:cs="Times New Roman"/>
          <w:color w:val="000000"/>
        </w:rPr>
      </w:pPr>
      <w:r>
        <w:rPr>
          <w:rFonts w:hint="eastAsia" w:ascii="宋体" w:hAnsi="宋体" w:cs="Times New Roman"/>
          <w:sz w:val="21"/>
          <w:szCs w:val="21"/>
          <w:lang w:bidi="ar"/>
        </w:rPr>
        <w:t>图</w:t>
      </w:r>
      <w:r>
        <w:rPr>
          <w:rFonts w:cs="Times New Roman"/>
          <w:sz w:val="21"/>
          <w:szCs w:val="21"/>
          <w:lang w:bidi="ar"/>
        </w:rPr>
        <w:t xml:space="preserve">4-2 </w:t>
      </w:r>
      <w:r>
        <w:rPr>
          <w:rFonts w:hint="eastAsia" w:ascii="宋体" w:hAnsi="宋体" w:cs="Times New Roman"/>
          <w:sz w:val="21"/>
          <w:szCs w:val="21"/>
          <w:lang w:bidi="ar"/>
        </w:rPr>
        <w:t>平台总体架构</w:t>
      </w:r>
    </w:p>
    <w:p w14:paraId="562A7AA7">
      <w:pPr>
        <w:keepNext/>
        <w:keepLines/>
        <w:spacing w:before="249" w:beforeLines="80" w:after="249" w:afterLines="80" w:line="410" w:lineRule="auto"/>
        <w:ind w:left="0" w:leftChars="0"/>
        <w:outlineLvl w:val="1"/>
        <w:rPr>
          <w:rFonts w:eastAsia="黑体" w:cs="Times New Roman"/>
          <w:b/>
          <w:color w:val="000000"/>
          <w:sz w:val="30"/>
          <w:szCs w:val="30"/>
        </w:rPr>
      </w:pPr>
      <w:r>
        <w:rPr>
          <w:rFonts w:eastAsia="黑体" w:cs="Times New Roman"/>
          <w:b/>
          <w:sz w:val="30"/>
          <w:szCs w:val="30"/>
          <w:lang w:bidi="ar"/>
        </w:rPr>
        <w:t xml:space="preserve">4.3 </w:t>
      </w:r>
      <w:r>
        <w:rPr>
          <w:rFonts w:hint="eastAsia" w:ascii="黑体" w:hAnsi="宋体" w:eastAsia="黑体" w:cs="Times New Roman"/>
          <w:b/>
          <w:sz w:val="30"/>
          <w:szCs w:val="30"/>
          <w:lang w:bidi="ar"/>
        </w:rPr>
        <w:t>器材建模</w:t>
      </w:r>
    </w:p>
    <w:p w14:paraId="36B04384">
      <w:pPr>
        <w:rPr>
          <w:rFonts w:cs="Times New Roman"/>
          <w:color w:val="000000"/>
        </w:rPr>
      </w:pPr>
      <w:r>
        <w:rPr>
          <w:rFonts w:hint="eastAsia" w:ascii="宋体" w:hAnsi="宋体" w:cs="Times New Roman"/>
          <w:lang w:bidi="ar"/>
        </w:rPr>
        <w:t>器材建模以真实器材的外形尺寸、光学口径和连接关系为依据。使用</w:t>
      </w:r>
      <w:r>
        <w:rPr>
          <w:rFonts w:cs="Times New Roman"/>
          <w:lang w:bidi="ar"/>
        </w:rPr>
        <w:t xml:space="preserve"> Blender </w:t>
      </w:r>
      <w:r>
        <w:rPr>
          <w:rFonts w:hint="eastAsia" w:ascii="宋体" w:hAnsi="宋体" w:cs="Times New Roman"/>
          <w:lang w:bidi="ar"/>
        </w:rPr>
        <w:t>完成激光器、透镜、光纤、探测器及辅助结构的几何建模，统一材质、颜色和坐标方向后装配为教学场景，再导出平台可加载的资源。建模资源与工程参数分离管理，既保证界面中的器材具有直观外观，也保证正式仿真仍从参数快照读取曲率、厚度、材料、位置和姿态。</w:t>
      </w:r>
    </w:p>
    <w:p w14:paraId="231AF98B">
      <w:pPr>
        <w:jc w:val="center"/>
        <w:rPr>
          <w:rFonts w:cs="Times New Roman"/>
          <w:color w:val="000000"/>
        </w:rPr>
      </w:pPr>
      <w:r>
        <w:rPr>
          <w:rFonts w:cs="Times New Roman"/>
          <w:lang w:bidi="ar"/>
        </w:rPr>
        <w:drawing>
          <wp:inline distT="0" distB="0" distL="114300" distR="114300">
            <wp:extent cx="5705475" cy="1057275"/>
            <wp:effectExtent l="0" t="0" r="9525" b="952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76"/>
                    <a:stretch>
                      <a:fillRect/>
                    </a:stretch>
                  </pic:blipFill>
                  <pic:spPr>
                    <a:xfrm>
                      <a:off x="0" y="0"/>
                      <a:ext cx="5705475" cy="1057275"/>
                    </a:xfrm>
                    <a:prstGeom prst="rect">
                      <a:avLst/>
                    </a:prstGeom>
                    <a:noFill/>
                    <a:ln>
                      <a:noFill/>
                    </a:ln>
                  </pic:spPr>
                </pic:pic>
              </a:graphicData>
            </a:graphic>
          </wp:inline>
        </w:drawing>
      </w:r>
      <w:r>
        <w:rPr>
          <w:rFonts w:cs="Times New Roman"/>
          <w:lang w:bidi="ar"/>
        </w:rPr>
        <w:t xml:space="preserve"> </w:t>
      </w:r>
    </w:p>
    <w:p w14:paraId="5CE41420">
      <w:pPr>
        <w:jc w:val="center"/>
        <w:rPr>
          <w:rFonts w:cs="Times New Roman"/>
          <w:color w:val="000000"/>
        </w:rPr>
      </w:pPr>
      <w:r>
        <w:rPr>
          <w:rFonts w:hint="eastAsia" w:ascii="宋体" w:hAnsi="宋体" w:cs="Times New Roman"/>
          <w:sz w:val="21"/>
          <w:szCs w:val="21"/>
          <w:lang w:bidi="ar"/>
        </w:rPr>
        <w:t>图</w:t>
      </w:r>
      <w:r>
        <w:rPr>
          <w:rFonts w:cs="Times New Roman"/>
          <w:sz w:val="21"/>
          <w:szCs w:val="21"/>
          <w:lang w:bidi="ar"/>
        </w:rPr>
        <w:t xml:space="preserve">4-4 Blender </w:t>
      </w:r>
      <w:r>
        <w:rPr>
          <w:rFonts w:hint="eastAsia" w:ascii="宋体" w:hAnsi="宋体" w:cs="Times New Roman"/>
          <w:sz w:val="21"/>
          <w:szCs w:val="21"/>
          <w:lang w:bidi="ar"/>
        </w:rPr>
        <w:t>器材建模流程</w:t>
      </w:r>
    </w:p>
    <w:p w14:paraId="34E4E62B">
      <w:pPr>
        <w:keepNext/>
        <w:keepLines/>
        <w:spacing w:before="249" w:beforeLines="80" w:after="249" w:afterLines="80" w:line="410" w:lineRule="auto"/>
        <w:ind w:left="0" w:leftChars="0"/>
        <w:outlineLvl w:val="1"/>
        <w:rPr>
          <w:rFonts w:eastAsia="黑体" w:cs="Times New Roman"/>
          <w:b/>
          <w:color w:val="000000"/>
          <w:sz w:val="30"/>
          <w:szCs w:val="30"/>
        </w:rPr>
      </w:pPr>
      <w:r>
        <w:rPr>
          <w:rFonts w:eastAsia="黑体" w:cs="Times New Roman"/>
          <w:b/>
          <w:sz w:val="30"/>
          <w:szCs w:val="30"/>
          <w:lang w:bidi="ar"/>
        </w:rPr>
        <w:t xml:space="preserve">4.4 UI </w:t>
      </w:r>
      <w:r>
        <w:rPr>
          <w:rFonts w:hint="eastAsia" w:ascii="黑体" w:hAnsi="宋体" w:eastAsia="黑体" w:cs="Times New Roman"/>
          <w:b/>
          <w:sz w:val="30"/>
          <w:szCs w:val="30"/>
          <w:lang w:bidi="ar"/>
        </w:rPr>
        <w:t>界面</w:t>
      </w:r>
    </w:p>
    <w:p w14:paraId="4C5ED198">
      <w:pPr>
        <w:rPr>
          <w:rFonts w:hint="eastAsia" w:ascii="宋体" w:hAnsi="宋体" w:cs="Times New Roman"/>
          <w:color w:val="000000"/>
        </w:rPr>
      </w:pPr>
      <w:r>
        <w:rPr>
          <w:rFonts w:cs="Times New Roman"/>
          <w:lang w:bidi="ar"/>
        </w:rPr>
        <w:t xml:space="preserve">UI </w:t>
      </w:r>
      <w:r>
        <w:rPr>
          <w:rFonts w:hint="eastAsia" w:ascii="宋体" w:hAnsi="宋体" w:cs="Times New Roman"/>
          <w:lang w:bidi="ar"/>
        </w:rPr>
        <w:t>采用首页工作流加模块化工作台的组织方式。首页以教学、仿真、模型、优化和解释五个功能区呈现研究路径；进入模块后，使用者可以在同一工作区完成参数编辑、任务提交、结果切换和方案回写，减少跨页面操作造成的状态丢失。</w:t>
      </w:r>
    </w:p>
    <w:p w14:paraId="6C9B831E">
      <w:pPr>
        <w:pStyle w:val="14"/>
        <w:spacing w:beforeAutospacing="0" w:after="120" w:afterAutospacing="0" w:line="480" w:lineRule="auto"/>
        <w:ind w:leftChars="0"/>
      </w:pPr>
    </w:p>
    <w:p w14:paraId="2501FA01">
      <w:pPr>
        <w:keepNext/>
        <w:keepLines/>
        <w:spacing w:before="156" w:beforeLines="50" w:after="156" w:afterLines="50" w:line="410" w:lineRule="auto"/>
        <w:ind w:left="0" w:leftChars="0"/>
        <w:outlineLvl w:val="2"/>
        <w:rPr>
          <w:rFonts w:eastAsia="黑体" w:cs="Times New Roman"/>
          <w:b/>
          <w:color w:val="000000"/>
          <w:sz w:val="28"/>
          <w:szCs w:val="28"/>
        </w:rPr>
      </w:pPr>
      <w:r>
        <w:rPr>
          <w:rFonts w:eastAsia="黑体" w:cs="Times New Roman"/>
          <w:b/>
          <w:sz w:val="28"/>
          <w:szCs w:val="28"/>
          <w:lang w:bidi="ar"/>
        </w:rPr>
        <w:t xml:space="preserve">4.4.1 UI </w:t>
      </w:r>
      <w:r>
        <w:rPr>
          <w:rFonts w:hint="eastAsia" w:ascii="黑体" w:hAnsi="宋体" w:eastAsia="黑体" w:cs="Times New Roman"/>
          <w:b/>
          <w:sz w:val="28"/>
          <w:szCs w:val="28"/>
          <w:lang w:bidi="ar"/>
        </w:rPr>
        <w:t>界面设计</w:t>
      </w:r>
    </w:p>
    <w:p w14:paraId="57E0C59D">
      <w:pPr>
        <w:rPr>
          <w:rFonts w:cs="Times New Roman"/>
          <w:color w:val="000000"/>
        </w:rPr>
      </w:pPr>
      <w:r>
        <w:rPr>
          <w:rFonts w:hint="eastAsia" w:ascii="宋体" w:hAnsi="宋体" w:cs="Times New Roman"/>
          <w:lang w:bidi="ar"/>
        </w:rPr>
        <w:t>界面设计强调功能分区清晰、状态反馈明确和结果优先。教学界面提供器材库、画布、视角和计算入口；仿真界面按光路、光斑、耦合和波前组织结果；模型、优化和解释界面分别突出训练指标、候选方案和特征贡献。所有正式任务均显示运行状态和完成标记，避免用户误读空白图或加载中的中间状态。</w:t>
      </w:r>
    </w:p>
    <w:p w14:paraId="6509FC4A">
      <w:pPr>
        <w:jc w:val="center"/>
        <w:rPr>
          <w:rFonts w:cs="Times New Roman"/>
          <w:color w:val="000000"/>
        </w:rPr>
      </w:pPr>
      <w:r>
        <w:rPr>
          <w:rFonts w:cs="Times New Roman"/>
          <w:lang w:bidi="ar"/>
        </w:rPr>
        <w:drawing>
          <wp:inline distT="0" distB="0" distL="114300" distR="114300">
            <wp:extent cx="5705475" cy="2000250"/>
            <wp:effectExtent l="0" t="0" r="9525" b="0"/>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77"/>
                    <a:stretch>
                      <a:fillRect/>
                    </a:stretch>
                  </pic:blipFill>
                  <pic:spPr>
                    <a:xfrm>
                      <a:off x="0" y="0"/>
                      <a:ext cx="5705475" cy="2000250"/>
                    </a:xfrm>
                    <a:prstGeom prst="rect">
                      <a:avLst/>
                    </a:prstGeom>
                    <a:noFill/>
                    <a:ln>
                      <a:noFill/>
                    </a:ln>
                  </pic:spPr>
                </pic:pic>
              </a:graphicData>
            </a:graphic>
          </wp:inline>
        </w:drawing>
      </w:r>
      <w:r>
        <w:rPr>
          <w:rFonts w:cs="Times New Roman"/>
          <w:lang w:bidi="ar"/>
        </w:rPr>
        <w:t xml:space="preserve"> </w:t>
      </w:r>
    </w:p>
    <w:p w14:paraId="4B207E12">
      <w:pPr>
        <w:jc w:val="center"/>
        <w:rPr>
          <w:rFonts w:cs="Times New Roman"/>
          <w:color w:val="000000"/>
        </w:rPr>
      </w:pPr>
      <w:r>
        <w:rPr>
          <w:rFonts w:hint="eastAsia" w:ascii="宋体" w:hAnsi="宋体" w:cs="Times New Roman"/>
          <w:sz w:val="21"/>
          <w:szCs w:val="21"/>
          <w:lang w:bidi="ar"/>
        </w:rPr>
        <w:t>图</w:t>
      </w:r>
      <w:r>
        <w:rPr>
          <w:rFonts w:cs="Times New Roman"/>
          <w:sz w:val="21"/>
          <w:szCs w:val="21"/>
          <w:lang w:bidi="ar"/>
        </w:rPr>
        <w:t xml:space="preserve">4-5 </w:t>
      </w:r>
      <w:r>
        <w:rPr>
          <w:rFonts w:hint="eastAsia" w:ascii="宋体" w:hAnsi="宋体" w:cs="Times New Roman"/>
          <w:sz w:val="21"/>
          <w:szCs w:val="21"/>
          <w:lang w:bidi="ar"/>
        </w:rPr>
        <w:t xml:space="preserve">平台 </w:t>
      </w:r>
      <w:r>
        <w:rPr>
          <w:rFonts w:cs="Times New Roman"/>
          <w:sz w:val="21"/>
          <w:szCs w:val="21"/>
          <w:lang w:bidi="ar"/>
        </w:rPr>
        <w:t xml:space="preserve">UI </w:t>
      </w:r>
      <w:r>
        <w:rPr>
          <w:rFonts w:hint="eastAsia" w:ascii="宋体" w:hAnsi="宋体" w:cs="Times New Roman"/>
          <w:sz w:val="21"/>
          <w:szCs w:val="21"/>
          <w:lang w:bidi="ar"/>
        </w:rPr>
        <w:t>界面设计示例</w:t>
      </w:r>
    </w:p>
    <w:p w14:paraId="3891548D">
      <w:pPr>
        <w:keepNext/>
        <w:keepLines/>
        <w:spacing w:before="156" w:beforeLines="50" w:after="156" w:afterLines="50" w:line="410" w:lineRule="auto"/>
        <w:ind w:left="0" w:leftChars="0"/>
        <w:outlineLvl w:val="2"/>
        <w:rPr>
          <w:rFonts w:eastAsia="黑体" w:cs="Times New Roman"/>
          <w:b/>
          <w:color w:val="000000"/>
          <w:sz w:val="28"/>
          <w:szCs w:val="28"/>
        </w:rPr>
      </w:pPr>
      <w:r>
        <w:rPr>
          <w:rFonts w:eastAsia="黑体" w:cs="Times New Roman"/>
          <w:b/>
          <w:sz w:val="28"/>
          <w:szCs w:val="28"/>
          <w:lang w:bidi="ar"/>
        </w:rPr>
        <w:t xml:space="preserve">4.4.2 </w:t>
      </w:r>
      <w:r>
        <w:rPr>
          <w:rFonts w:hint="eastAsia" w:ascii="黑体" w:hAnsi="宋体" w:eastAsia="黑体" w:cs="Times New Roman"/>
          <w:b/>
          <w:sz w:val="28"/>
          <w:szCs w:val="28"/>
          <w:lang w:bidi="ar"/>
        </w:rPr>
        <w:t>迭代历史</w:t>
      </w:r>
    </w:p>
    <w:p w14:paraId="3A658129">
      <w:pPr>
        <w:rPr>
          <w:rFonts w:cs="Times New Roman"/>
          <w:color w:val="000000"/>
        </w:rPr>
      </w:pPr>
      <w:r>
        <w:rPr>
          <w:rFonts w:hint="eastAsia" w:ascii="宋体" w:hAnsi="宋体" w:cs="Times New Roman"/>
          <w:lang w:bidi="ar"/>
        </w:rPr>
        <w:t>界面迭代从原型验证开始，逐步加入工程快照、任务状态、正式结果、智能分析和交付封装。每次迭代都围绕</w:t>
      </w:r>
      <w:r>
        <w:rPr>
          <w:rFonts w:cs="Times New Roman"/>
          <w:lang w:bidi="ar"/>
        </w:rPr>
        <w:t>“</w:t>
      </w:r>
      <w:r>
        <w:rPr>
          <w:rFonts w:hint="eastAsia" w:ascii="宋体" w:hAnsi="宋体" w:cs="Times New Roman"/>
          <w:lang w:bidi="ar"/>
        </w:rPr>
        <w:t>能否完成任务、能否解释结果、能否复现计算</w:t>
      </w:r>
      <w:r>
        <w:rPr>
          <w:rFonts w:cs="Times New Roman"/>
          <w:lang w:bidi="ar"/>
        </w:rPr>
        <w:t>”</w:t>
      </w:r>
      <w:r>
        <w:rPr>
          <w:rFonts w:hint="eastAsia" w:ascii="宋体" w:hAnsi="宋体" w:cs="Times New Roman"/>
          <w:lang w:bidi="ar"/>
        </w:rPr>
        <w:t>进行验收，并通过统一的工程对象和结果文档保持模块之间的一致性。</w:t>
      </w:r>
    </w:p>
    <w:p w14:paraId="6318D6DD">
      <w:pPr>
        <w:jc w:val="center"/>
        <w:rPr>
          <w:rFonts w:cs="Times New Roman"/>
          <w:color w:val="000000"/>
        </w:rPr>
      </w:pPr>
      <w:r>
        <w:rPr>
          <w:rFonts w:cs="Times New Roman"/>
          <w:lang w:bidi="ar"/>
        </w:rPr>
        <w:drawing>
          <wp:inline distT="0" distB="0" distL="114300" distR="114300">
            <wp:extent cx="5705475" cy="1457325"/>
            <wp:effectExtent l="0" t="0" r="9525" b="952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78"/>
                    <a:stretch>
                      <a:fillRect/>
                    </a:stretch>
                  </pic:blipFill>
                  <pic:spPr>
                    <a:xfrm>
                      <a:off x="0" y="0"/>
                      <a:ext cx="5705475" cy="1457325"/>
                    </a:xfrm>
                    <a:prstGeom prst="rect">
                      <a:avLst/>
                    </a:prstGeom>
                    <a:noFill/>
                    <a:ln>
                      <a:noFill/>
                    </a:ln>
                  </pic:spPr>
                </pic:pic>
              </a:graphicData>
            </a:graphic>
          </wp:inline>
        </w:drawing>
      </w:r>
      <w:r>
        <w:rPr>
          <w:rFonts w:cs="Times New Roman"/>
          <w:lang w:bidi="ar"/>
        </w:rPr>
        <w:t xml:space="preserve"> </w:t>
      </w:r>
    </w:p>
    <w:p w14:paraId="4AF7B560">
      <w:pPr>
        <w:jc w:val="center"/>
        <w:rPr>
          <w:rFonts w:cs="Times New Roman"/>
          <w:color w:val="000000"/>
        </w:rPr>
      </w:pPr>
      <w:r>
        <w:rPr>
          <w:rFonts w:hint="eastAsia" w:ascii="宋体" w:hAnsi="宋体" w:cs="Times New Roman"/>
          <w:sz w:val="21"/>
          <w:szCs w:val="21"/>
          <w:lang w:bidi="ar"/>
        </w:rPr>
        <w:t>图</w:t>
      </w:r>
      <w:r>
        <w:rPr>
          <w:rFonts w:cs="Times New Roman"/>
          <w:sz w:val="21"/>
          <w:szCs w:val="21"/>
          <w:lang w:bidi="ar"/>
        </w:rPr>
        <w:t xml:space="preserve">4-6 UI </w:t>
      </w:r>
      <w:r>
        <w:rPr>
          <w:rFonts w:hint="eastAsia" w:ascii="宋体" w:hAnsi="宋体" w:cs="Times New Roman"/>
          <w:sz w:val="21"/>
          <w:szCs w:val="21"/>
          <w:lang w:bidi="ar"/>
        </w:rPr>
        <w:t>界面迭代历史</w:t>
      </w:r>
    </w:p>
    <w:p w14:paraId="1BF5FC98">
      <w:pPr>
        <w:keepNext/>
        <w:keepLines/>
        <w:spacing w:before="249" w:beforeLines="80" w:after="249" w:afterLines="80" w:line="410" w:lineRule="auto"/>
        <w:ind w:left="0" w:leftChars="0"/>
        <w:outlineLvl w:val="1"/>
        <w:rPr>
          <w:rFonts w:eastAsia="黑体" w:cs="Times New Roman"/>
          <w:b/>
          <w:color w:val="000000"/>
          <w:sz w:val="30"/>
          <w:szCs w:val="30"/>
        </w:rPr>
      </w:pPr>
      <w:r>
        <w:rPr>
          <w:rFonts w:eastAsia="黑体" w:cs="Times New Roman"/>
          <w:b/>
          <w:sz w:val="30"/>
          <w:szCs w:val="30"/>
          <w:lang w:bidi="ar"/>
        </w:rPr>
        <w:t xml:space="preserve">4.5 </w:t>
      </w:r>
      <w:r>
        <w:rPr>
          <w:rFonts w:hint="eastAsia" w:ascii="黑体" w:hAnsi="宋体" w:eastAsia="黑体" w:cs="Times New Roman"/>
          <w:b/>
          <w:sz w:val="30"/>
          <w:szCs w:val="30"/>
          <w:lang w:bidi="ar"/>
        </w:rPr>
        <w:t>程序封装</w:t>
      </w:r>
    </w:p>
    <w:p w14:paraId="46E80918">
      <w:pPr>
        <w:rPr>
          <w:rFonts w:hint="eastAsia" w:ascii="宋体" w:hAnsi="宋体" w:cs="Times New Roman"/>
          <w:color w:val="000000"/>
        </w:rPr>
      </w:pPr>
      <w:r>
        <w:rPr>
          <w:rFonts w:hint="eastAsia" w:ascii="宋体" w:hAnsi="宋体" w:cs="Times New Roman"/>
          <w:lang w:bidi="ar"/>
        </w:rPr>
        <w:t>图47 为将仿真系统封装成可独立运行的“.exe” 安装程序的过程。本系统由PySide6 图形界面与FastAPI 后端服务组成，首先确保前后端程序在Python 开发环境中联调运行无误。考虑到目标用户无需安装Python 环境，将后端服务以内嵌方式集成：打包入口 launcher.py 在程序启动时自动创建后端线程，通过轮询健康检查接口确认后端就绪后再</w:t>
      </w:r>
      <w:r>
        <w:rPr>
          <w:rFonts w:hint="eastAsia" w:ascii="宋体" w:hAnsi="宋体" w:cs="Times New Roman"/>
          <w:lang w:bidi="ar"/>
        </w:rPr>
        <w:br w:type="page"/>
      </w:r>
      <w:r>
        <w:rPr>
          <w:rFonts w:hint="eastAsia" w:ascii="宋体" w:hAnsi="宋体" w:cs="Times New Roman"/>
          <w:lang w:bidi="ar"/>
        </w:rPr>
        <w:t>加载图形界面，实现单进程内前后端一体化运行。随后，使用PyInstaller 库对打包入口文件launcher.py 进行配置，采用单目录（onedir）模式将Python 解释器及其全部依赖库（包括PySide6、Torch、FastAPI 等第三方库）一并封装进执行文件，并在配置文件中通过collect_all 与hiddenimports 参数补齐隐藏依赖、以datas 参数纳入前端资源文件与光学材料数据库。打包参数在OpticalSystem.spec 配置文件中集中声明，同时针对特定运行库冲突（如ICU 库版本遮蔽问题）在配置阶段进行过滤处理，确保封装后的程序在不同机器上均可正常加载。完成后，执行打包过程生成“.exe” 文件。</w:t>
      </w:r>
    </w:p>
    <w:p w14:paraId="4EB1A832">
      <w:pPr>
        <w:rPr>
          <w:rFonts w:hint="eastAsia" w:ascii="宋体" w:hAnsi="宋体" w:cs="Times New Roman"/>
          <w:color w:val="000000"/>
        </w:rPr>
      </w:pPr>
      <w:r>
        <w:rPr>
          <w:rFonts w:hint="eastAsia" w:ascii="宋体" w:hAnsi="宋体" w:cs="Times New Roman"/>
          <w:lang w:bidi="ar"/>
        </w:rPr>
        <w:drawing>
          <wp:inline distT="0" distB="0" distL="114300" distR="114300">
            <wp:extent cx="5762625" cy="3686175"/>
            <wp:effectExtent l="0" t="0" r="9525" b="9525"/>
            <wp:docPr id="3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0"/>
                    <pic:cNvPicPr>
                      <a:picLocks noChangeAspect="1"/>
                    </pic:cNvPicPr>
                  </pic:nvPicPr>
                  <pic:blipFill>
                    <a:blip r:embed="rId79"/>
                    <a:stretch>
                      <a:fillRect/>
                    </a:stretch>
                  </pic:blipFill>
                  <pic:spPr>
                    <a:xfrm>
                      <a:off x="0" y="0"/>
                      <a:ext cx="5762625" cy="3686175"/>
                    </a:xfrm>
                    <a:prstGeom prst="rect">
                      <a:avLst/>
                    </a:prstGeom>
                    <a:noFill/>
                    <a:ln>
                      <a:noFill/>
                    </a:ln>
                  </pic:spPr>
                </pic:pic>
              </a:graphicData>
            </a:graphic>
          </wp:inline>
        </w:drawing>
      </w:r>
      <w:r>
        <w:rPr>
          <w:rFonts w:hint="eastAsia" w:ascii="宋体" w:hAnsi="宋体" w:cs="Times New Roman"/>
          <w:lang w:bidi="ar"/>
        </w:rPr>
        <w:t xml:space="preserve"> </w:t>
      </w:r>
    </w:p>
    <w:p w14:paraId="108E7523">
      <w:pPr>
        <w:rPr>
          <w:rFonts w:hint="eastAsia" w:ascii="宋体" w:hAnsi="宋体" w:cs="Times New Roman"/>
          <w:b/>
          <w:color w:val="000000"/>
        </w:rPr>
      </w:pPr>
      <w:r>
        <w:rPr>
          <w:rFonts w:hint="eastAsia" w:ascii="宋体" w:hAnsi="宋体" w:cs="Times New Roman"/>
          <w:b/>
          <w:lang w:bidi="ar"/>
        </w:rPr>
        <w:t>图47 软件封装流程：从开发环境到可执行程序</w:t>
      </w:r>
    </w:p>
    <w:p w14:paraId="44307391">
      <w:pPr>
        <w:rPr>
          <w:rFonts w:hint="eastAsia" w:ascii="宋体" w:hAnsi="宋体" w:cs="Times New Roman"/>
          <w:color w:val="000000"/>
        </w:rPr>
      </w:pPr>
      <w:r>
        <w:rPr>
          <w:rFonts w:hint="eastAsia" w:ascii="宋体" w:hAnsi="宋体" w:cs="Times New Roman"/>
          <w:lang w:bidi="ar"/>
        </w:rPr>
        <w:drawing>
          <wp:inline distT="0" distB="0" distL="114300" distR="114300">
            <wp:extent cx="2162175" cy="876300"/>
            <wp:effectExtent l="0" t="0" r="9525" b="0"/>
            <wp:docPr id="2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9"/>
                    <pic:cNvPicPr>
                      <a:picLocks noChangeAspect="1"/>
                    </pic:cNvPicPr>
                  </pic:nvPicPr>
                  <pic:blipFill>
                    <a:blip r:embed="rId80"/>
                    <a:stretch>
                      <a:fillRect/>
                    </a:stretch>
                  </pic:blipFill>
                  <pic:spPr>
                    <a:xfrm>
                      <a:off x="0" y="0"/>
                      <a:ext cx="2162175" cy="876300"/>
                    </a:xfrm>
                    <a:prstGeom prst="rect">
                      <a:avLst/>
                    </a:prstGeom>
                    <a:noFill/>
                    <a:ln>
                      <a:noFill/>
                    </a:ln>
                  </pic:spPr>
                </pic:pic>
              </a:graphicData>
            </a:graphic>
          </wp:inline>
        </w:drawing>
      </w:r>
      <w:r>
        <w:rPr>
          <w:rFonts w:hint="eastAsia" w:ascii="宋体" w:hAnsi="宋体" w:cs="Times New Roman"/>
          <w:lang w:bidi="ar"/>
        </w:rPr>
        <w:t xml:space="preserve"> </w:t>
      </w:r>
    </w:p>
    <w:p w14:paraId="11CE4FD4">
      <w:pPr>
        <w:rPr>
          <w:rFonts w:hint="eastAsia" w:ascii="宋体" w:hAnsi="宋体" w:cs="Times New Roman"/>
          <w:b/>
          <w:color w:val="000000"/>
        </w:rPr>
      </w:pPr>
      <w:r>
        <w:rPr>
          <w:rFonts w:hint="eastAsia" w:ascii="宋体" w:hAnsi="宋体" w:cs="Times New Roman"/>
          <w:b/>
          <w:lang w:bidi="ar"/>
        </w:rPr>
        <w:t>图48 打包输出文件及其用途</w:t>
      </w:r>
    </w:p>
    <w:p w14:paraId="32D93CCD">
      <w:pPr>
        <w:rPr>
          <w:rFonts w:hint="eastAsia" w:ascii="宋体" w:hAnsi="宋体" w:cs="Times New Roman"/>
          <w:color w:val="000000"/>
        </w:rPr>
      </w:pPr>
      <w:r>
        <w:rPr>
          <w:rFonts w:hint="eastAsia" w:ascii="宋体" w:hAnsi="宋体" w:cs="Times New Roman"/>
          <w:lang w:bidi="ar"/>
        </w:rPr>
        <w:t>执行打包完成后生成的输出文件主要包括三部分，如图48 所示，其中dist 文件夹包含最终分发的应用程序文件，它是以OpticalSystem.exe 为入口的完整应用程序目录，启动器与全部依赖库均位于其中，直接拷贝该目录即可实现绿色便携运行。build 文件夹包含打包过程中生成的临时文件和中间构建结果，用于调试和分析打包过程。 OpticalSystem.spec 是PyInstaller 的配置文件，记录了本次打包的所有参数设置，可用于重复构建与版本迭代。</w:t>
      </w:r>
    </w:p>
    <w:p w14:paraId="52FE5492">
      <w:pPr>
        <w:rPr>
          <w:rFonts w:hint="eastAsia" w:ascii="宋体" w:hAnsi="宋体" w:cs="Times New Roman"/>
          <w:color w:val="000000"/>
        </w:rPr>
      </w:pPr>
      <w:r>
        <w:rPr>
          <w:rFonts w:hint="eastAsia" w:ascii="宋体" w:hAnsi="宋体" w:cs="Times New Roman"/>
          <w:lang w:bidi="ar"/>
        </w:rPr>
        <w:drawing>
          <wp:inline distT="0" distB="0" distL="114300" distR="114300">
            <wp:extent cx="2085975" cy="314325"/>
            <wp:effectExtent l="0" t="0" r="9525" b="9525"/>
            <wp:docPr id="2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8"/>
                    <pic:cNvPicPr>
                      <a:picLocks noChangeAspect="1"/>
                    </pic:cNvPicPr>
                  </pic:nvPicPr>
                  <pic:blipFill>
                    <a:blip r:embed="rId81"/>
                    <a:stretch>
                      <a:fillRect/>
                    </a:stretch>
                  </pic:blipFill>
                  <pic:spPr>
                    <a:xfrm>
                      <a:off x="0" y="0"/>
                      <a:ext cx="2085975" cy="314325"/>
                    </a:xfrm>
                    <a:prstGeom prst="rect">
                      <a:avLst/>
                    </a:prstGeom>
                    <a:noFill/>
                    <a:ln>
                      <a:noFill/>
                    </a:ln>
                  </pic:spPr>
                </pic:pic>
              </a:graphicData>
            </a:graphic>
          </wp:inline>
        </w:drawing>
      </w:r>
      <w:r>
        <w:rPr>
          <w:rFonts w:hint="eastAsia" w:ascii="宋体" w:hAnsi="宋体" w:cs="Times New Roman"/>
          <w:lang w:bidi="ar"/>
        </w:rPr>
        <w:t xml:space="preserve"> </w:t>
      </w:r>
    </w:p>
    <w:p w14:paraId="01FF458D">
      <w:pPr>
        <w:rPr>
          <w:rFonts w:hint="eastAsia" w:ascii="宋体" w:hAnsi="宋体" w:cs="Times New Roman"/>
          <w:b/>
          <w:color w:val="000000"/>
        </w:rPr>
      </w:pPr>
      <w:r>
        <w:rPr>
          <w:rFonts w:hint="eastAsia" w:ascii="宋体" w:hAnsi="宋体" w:cs="Times New Roman"/>
          <w:b/>
          <w:lang w:bidi="ar"/>
        </w:rPr>
        <w:t>图49 独立安装程序界面</w:t>
      </w:r>
    </w:p>
    <w:p w14:paraId="391BE3E7">
      <w:pPr>
        <w:rPr>
          <w:rFonts w:hint="eastAsia" w:ascii="宋体" w:hAnsi="宋体" w:cs="Times New Roman"/>
          <w:color w:val="000000"/>
        </w:rPr>
      </w:pPr>
      <w:r>
        <w:rPr>
          <w:rFonts w:hint="eastAsia" w:ascii="宋体" w:hAnsi="宋体" w:cs="Times New Roman"/>
          <w:lang w:bidi="ar"/>
        </w:rPr>
        <w:t>在此基础上，为进一步提升分发体验，采用Inno Setup 工具对dist 目录进行二次封装，生成独立的安装程序OpticalSystem_Setup.exe。安装包内置简体中文安装向导，用户无需任何命令行操作即可完成安装，并自动生成开始菜单与桌面快捷方式，支持标准卸载流程，卸载时自动清理程序运行产生的数据目录。程序安装后首次启动时，启动器自动完成运行环境初始化：设置生产模式参数、解析可用端口（当默认端口被占用时自动回退至空闲端口）、启动内嵌后端服务并通过健康检查、最后加载主界面。无论对于未安装Python 的用户，还是已具备Python 环境的用户，安装后双击快捷方式即可立即进入仿真系统，实现真正的“开箱即用”，无需额外安装任何运行环境，安装程序如图49所示，操作流程如图50所示。该封装方案确保了系统能够在Windows 上无缝部署和运行，相较于MATLAB 等其他应用封装的软件极大提升了易用性和分发便利性</w:t>
      </w:r>
    </w:p>
    <w:p w14:paraId="7E02D8CD">
      <w:pPr>
        <w:rPr>
          <w:rFonts w:hint="eastAsia" w:ascii="宋体" w:hAnsi="宋体" w:cs="Times New Roman"/>
          <w:color w:val="000000"/>
        </w:rPr>
      </w:pPr>
      <w:r>
        <w:rPr>
          <w:rFonts w:hint="eastAsia" w:ascii="宋体" w:hAnsi="宋体" w:cs="Times New Roman"/>
          <w:lang w:bidi="ar"/>
        </w:rPr>
        <w:drawing>
          <wp:inline distT="0" distB="0" distL="114300" distR="114300">
            <wp:extent cx="5762625" cy="2971800"/>
            <wp:effectExtent l="0" t="0" r="9525" b="0"/>
            <wp:docPr id="3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7"/>
                    <pic:cNvPicPr>
                      <a:picLocks noChangeAspect="1"/>
                    </pic:cNvPicPr>
                  </pic:nvPicPr>
                  <pic:blipFill>
                    <a:blip r:embed="rId82"/>
                    <a:stretch>
                      <a:fillRect/>
                    </a:stretch>
                  </pic:blipFill>
                  <pic:spPr>
                    <a:xfrm>
                      <a:off x="0" y="0"/>
                      <a:ext cx="5762625" cy="2971800"/>
                    </a:xfrm>
                    <a:prstGeom prst="rect">
                      <a:avLst/>
                    </a:prstGeom>
                    <a:noFill/>
                    <a:ln>
                      <a:noFill/>
                    </a:ln>
                  </pic:spPr>
                </pic:pic>
              </a:graphicData>
            </a:graphic>
          </wp:inline>
        </w:drawing>
      </w:r>
      <w:r>
        <w:rPr>
          <w:rFonts w:hint="eastAsia" w:ascii="宋体" w:hAnsi="宋体" w:cs="Times New Roman"/>
          <w:lang w:bidi="ar"/>
        </w:rPr>
        <w:t xml:space="preserve"> </w:t>
      </w:r>
    </w:p>
    <w:p w14:paraId="4E44370B">
      <w:pPr>
        <w:rPr>
          <w:rFonts w:hint="eastAsia" w:ascii="宋体" w:hAnsi="宋体" w:cs="Times New Roman"/>
          <w:b/>
          <w:color w:val="000000"/>
        </w:rPr>
      </w:pPr>
      <w:r>
        <w:rPr>
          <w:rFonts w:hint="eastAsia" w:ascii="宋体" w:hAnsi="宋体" w:cs="Times New Roman"/>
          <w:b/>
          <w:lang w:bidi="ar"/>
        </w:rPr>
        <w:t>图50 软件安装流程与首次启动过程</w:t>
      </w:r>
    </w:p>
    <w:p w14:paraId="2A008387"/>
    <w:p w14:paraId="70C2A669">
      <w:pPr>
        <w:pStyle w:val="2"/>
        <w:spacing w:before="312" w:after="312"/>
      </w:pPr>
      <w:bookmarkStart w:id="39" w:name="_Toc25905"/>
      <w:r>
        <w:rPr>
          <w:rFonts w:hint="eastAsia"/>
        </w:rPr>
        <w:t>5平台功能介绍</w:t>
      </w:r>
      <w:bookmarkEnd w:id="39"/>
    </w:p>
    <w:p w14:paraId="7676F836">
      <w:pPr>
        <w:keepNext/>
        <w:keepLines/>
        <w:spacing w:before="249" w:beforeLines="80" w:after="249" w:afterLines="80" w:line="300" w:lineRule="auto"/>
        <w:ind w:left="0" w:leftChars="0"/>
        <w:outlineLvl w:val="1"/>
        <w:rPr>
          <w:rFonts w:eastAsia="黑体" w:cs="Times New Roman"/>
          <w:b/>
          <w:color w:val="000000"/>
          <w:sz w:val="30"/>
          <w:szCs w:val="30"/>
        </w:rPr>
      </w:pPr>
      <w:bookmarkStart w:id="40" w:name="_Toc24503"/>
      <w:r>
        <w:rPr>
          <w:rFonts w:eastAsia="黑体" w:cs="Times New Roman"/>
          <w:b/>
          <w:bCs/>
          <w:color w:val="000000"/>
          <w:sz w:val="30"/>
          <w:szCs w:val="30"/>
        </w:rPr>
        <w:t xml:space="preserve">5.1 </w:t>
      </w:r>
      <w:r>
        <w:rPr>
          <w:rFonts w:ascii="黑体" w:hAnsi="黑体" w:eastAsia="黑体" w:cs="Times New Roman"/>
          <w:b/>
          <w:bCs/>
          <w:color w:val="000000"/>
          <w:sz w:val="30"/>
          <w:szCs w:val="30"/>
        </w:rPr>
        <w:t>功能区总览</w:t>
      </w:r>
    </w:p>
    <w:p w14:paraId="4D1D2960">
      <w:pPr>
        <w:ind w:firstLine="480"/>
        <w:rPr>
          <w:rFonts w:cs="Times New Roman"/>
          <w:color w:val="000000"/>
        </w:rPr>
      </w:pPr>
      <w:r>
        <w:rPr>
          <w:rFonts w:ascii="宋体" w:hAnsi="宋体" w:cs="Times New Roman"/>
          <w:color w:val="000000"/>
        </w:rPr>
        <w:t>打开平台后首先进入首页。首页中央以“光学研究工作流”为主题，用五张功能卡片概括平台的主要研究环节：教学、仿真、模型、优化和解释。五个功能区既是功能说明，也是快捷入口；点击卡片中的子功能按钮，可以直接跳转到对应模块的相应环节，使用者不需要先熟悉复杂的菜单层级即可定位任务。</w:t>
      </w:r>
    </w:p>
    <w:p w14:paraId="72C92828">
      <w:pPr>
        <w:ind w:firstLine="480"/>
        <w:rPr>
          <w:rFonts w:cs="Times New Roman"/>
          <w:color w:val="000000"/>
        </w:rPr>
      </w:pPr>
      <w:r>
        <w:rPr>
          <w:rFonts w:ascii="宋体" w:hAnsi="宋体" w:cs="Times New Roman"/>
          <w:color w:val="000000"/>
        </w:rPr>
        <w:t>五个功能区之间按照研究流程形成联动关系。教学区帮助使用者理解光路结构和器件作用；仿真区负责建立工程、提交正式计算并查看光学结果；模型区负责生成数据、训练代理模型和进行快速预测；优化区根据目标筛选参数组合并把候选方案回写工程；解释区利用</w:t>
      </w:r>
      <w:r>
        <w:rPr>
          <w:rFonts w:cs="Times New Roman"/>
          <w:color w:val="000000"/>
        </w:rPr>
        <w:t xml:space="preserve"> SHAP </w:t>
      </w:r>
      <w:r>
        <w:rPr>
          <w:rFonts w:ascii="宋体" w:hAnsi="宋体" w:cs="Times New Roman"/>
          <w:color w:val="000000"/>
        </w:rPr>
        <w:t xml:space="preserve">和物理分析说明模型为什么给出当前判断。整个过程中，平台保留任务状态和工程快照，并支持在需要时调用 </w:t>
      </w:r>
      <w:r>
        <w:rPr>
          <w:rFonts w:cs="Times New Roman"/>
          <w:color w:val="000000"/>
        </w:rPr>
        <w:t xml:space="preserve">AI </w:t>
      </w:r>
      <w:r>
        <w:rPr>
          <w:rFonts w:ascii="宋体" w:hAnsi="宋体" w:cs="Times New Roman"/>
          <w:color w:val="000000"/>
        </w:rPr>
        <w:t>进行概念讲解、结果说明和操作建议。</w:t>
      </w:r>
    </w:p>
    <w:p w14:paraId="2A167008">
      <w:pPr>
        <w:spacing w:before="100" w:beforeAutospacing="1" w:after="120"/>
        <w:jc w:val="center"/>
        <w:rPr>
          <w:rFonts w:cs="Times New Roman"/>
          <w:color w:val="000000"/>
        </w:rPr>
      </w:pPr>
      <w:r>
        <w:rPr>
          <w:rFonts w:cs="Times New Roman"/>
          <w:color w:val="000000"/>
        </w:rPr>
        <w:drawing>
          <wp:inline distT="0" distB="0" distL="0" distR="0">
            <wp:extent cx="5709920" cy="3221355"/>
            <wp:effectExtent l="0" t="0" r="5080" b="0"/>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5709920" cy="3221355"/>
                    </a:xfrm>
                    <a:prstGeom prst="rect">
                      <a:avLst/>
                    </a:prstGeom>
                    <a:noFill/>
                    <a:ln>
                      <a:noFill/>
                    </a:ln>
                  </pic:spPr>
                </pic:pic>
              </a:graphicData>
            </a:graphic>
          </wp:inline>
        </w:drawing>
      </w:r>
      <w:r>
        <w:rPr>
          <w:rFonts w:cs="Times New Roman"/>
          <w:color w:val="000000"/>
        </w:rPr>
        <w:t xml:space="preserve"> </w:t>
      </w:r>
    </w:p>
    <w:p w14:paraId="39D4B328">
      <w:pPr>
        <w:spacing w:before="60" w:after="120"/>
        <w:jc w:val="center"/>
        <w:rPr>
          <w:rFonts w:hint="eastAsia" w:ascii="宋体" w:hAnsi="宋体" w:cs="宋体"/>
          <w:color w:val="000000"/>
          <w:sz w:val="21"/>
          <w:szCs w:val="21"/>
        </w:rPr>
      </w:pPr>
      <w:r>
        <w:rPr>
          <w:rFonts w:hint="eastAsia" w:ascii="宋体" w:hAnsi="宋体" w:cs="宋体"/>
          <w:color w:val="000000"/>
          <w:sz w:val="21"/>
          <w:szCs w:val="21"/>
        </w:rPr>
        <w:t>图</w:t>
      </w:r>
      <w:r>
        <w:rPr>
          <w:rFonts w:cs="Times New Roman"/>
          <w:color w:val="000000"/>
          <w:sz w:val="21"/>
          <w:szCs w:val="21"/>
        </w:rPr>
        <w:t xml:space="preserve">5-1 </w:t>
      </w:r>
      <w:r>
        <w:rPr>
          <w:rFonts w:hint="eastAsia" w:ascii="宋体" w:hAnsi="宋体" w:cs="宋体"/>
          <w:color w:val="000000"/>
          <w:sz w:val="21"/>
          <w:szCs w:val="21"/>
        </w:rPr>
        <w:t>首页“光学研究工作流”五大功能区总览</w:t>
      </w:r>
    </w:p>
    <w:p w14:paraId="2FE9CD9D">
      <w:pPr>
        <w:keepNext/>
        <w:keepLines/>
        <w:spacing w:before="249" w:beforeLines="80" w:after="249" w:afterLines="80" w:line="300" w:lineRule="auto"/>
        <w:ind w:left="0" w:leftChars="0"/>
        <w:outlineLvl w:val="1"/>
        <w:rPr>
          <w:rFonts w:eastAsia="黑体" w:cs="Times New Roman"/>
          <w:b/>
          <w:color w:val="000000"/>
          <w:sz w:val="30"/>
          <w:szCs w:val="30"/>
        </w:rPr>
      </w:pPr>
      <w:r>
        <w:rPr>
          <w:rFonts w:eastAsia="黑体" w:cs="Times New Roman"/>
          <w:b/>
          <w:bCs/>
          <w:color w:val="000000"/>
          <w:sz w:val="30"/>
          <w:szCs w:val="30"/>
        </w:rPr>
        <w:t xml:space="preserve">5.2 </w:t>
      </w:r>
      <w:r>
        <w:rPr>
          <w:rFonts w:ascii="黑体" w:hAnsi="黑体" w:eastAsia="黑体" w:cs="Times New Roman"/>
          <w:b/>
          <w:bCs/>
          <w:color w:val="000000"/>
          <w:sz w:val="30"/>
          <w:szCs w:val="30"/>
        </w:rPr>
        <w:t>教学模块</w:t>
      </w:r>
    </w:p>
    <w:p w14:paraId="3781CFD6">
      <w:pPr>
        <w:ind w:firstLine="480"/>
        <w:rPr>
          <w:rFonts w:cs="Times New Roman"/>
          <w:color w:val="000000"/>
        </w:rPr>
      </w:pPr>
      <w:r>
        <w:rPr>
          <w:rFonts w:ascii="宋体" w:hAnsi="宋体" w:cs="Times New Roman"/>
          <w:color w:val="000000"/>
        </w:rPr>
        <w:t>进入教学模块后，界面显示一张空白的光学桌面和器材区。使用者可以将激光器、透镜和光纤拖入桌面，组成一条基础光路；点击成像与耦合更新后，平台</w:t>
      </w:r>
      <w:r>
        <w:rPr>
          <w:rFonts w:hint="eastAsia" w:ascii="宋体" w:hAnsi="宋体"/>
          <w:color w:val="000000"/>
          <w:sz w:val="21"/>
          <w:szCs w:val="21"/>
        </w:rPr>
        <w:t>即时</w:t>
      </w:r>
      <w:r>
        <w:rPr>
          <w:rFonts w:ascii="宋体" w:hAnsi="宋体" w:cs="Times New Roman"/>
          <w:color w:val="000000"/>
        </w:rPr>
        <w:t>显示接收面光斑和耦合效率。点击器件可以查看当前位置、姿态和参数，也可以直接输入坐标与朝向进行精确设定。拖拽操作适合建立直观认识</w:t>
      </w:r>
      <w:bookmarkStart w:id="63" w:name="_GoBack"/>
      <w:bookmarkEnd w:id="63"/>
      <w:r>
        <w:rPr>
          <w:rFonts w:ascii="宋体" w:hAnsi="宋体" w:cs="Times New Roman"/>
          <w:color w:val="000000"/>
        </w:rPr>
        <w:t>，坐标输入适合进行精细调整，工业常用规格则降低了初始建模的门槛。</w:t>
      </w:r>
    </w:p>
    <w:p w14:paraId="0A0F0961">
      <w:pPr>
        <w:ind w:firstLine="480"/>
        <w:rPr>
          <w:rFonts w:cs="Times New Roman"/>
          <w:color w:val="000000"/>
        </w:rPr>
      </w:pPr>
      <w:r>
        <w:rPr>
          <w:rFonts w:ascii="宋体" w:hAnsi="宋体" w:cs="Times New Roman"/>
          <w:color w:val="000000"/>
        </w:rPr>
        <w:t>教学桌面支持清空场景、重置视角和重新加载标准案例。调用内置四透镜耦合模型后，使用者可以观察四片透镜的排布、光线逐片偏折以及最终会聚进入光纤的过程。教学模块还可与仿真工程同步，使同一套器件位置、波长和光纤模场参数能够从教学演示延伸到正式仿真。</w:t>
      </w:r>
    </w:p>
    <w:p w14:paraId="7DE79066">
      <w:pPr>
        <w:spacing w:before="60" w:after="120"/>
        <w:jc w:val="center"/>
        <w:rPr>
          <w:rFonts w:hint="eastAsia" w:ascii="宋体" w:hAnsi="宋体" w:cs="宋体"/>
          <w:color w:val="000000"/>
          <w:sz w:val="21"/>
          <w:szCs w:val="21"/>
        </w:rPr>
      </w:pPr>
      <w:r>
        <w:rPr>
          <w:rFonts w:hint="eastAsia" w:ascii="宋体" w:hAnsi="宋体" w:cs="宋体"/>
          <w:color w:val="000000"/>
          <w:sz w:val="21"/>
          <w:szCs w:val="21"/>
        </w:rPr>
        <w:drawing>
          <wp:inline distT="0" distB="0" distL="0" distR="0">
            <wp:extent cx="5709920" cy="1924685"/>
            <wp:effectExtent l="0" t="0" r="5080" b="0"/>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5709920" cy="1924685"/>
                    </a:xfrm>
                    <a:prstGeom prst="rect">
                      <a:avLst/>
                    </a:prstGeom>
                    <a:noFill/>
                    <a:ln>
                      <a:noFill/>
                    </a:ln>
                  </pic:spPr>
                </pic:pic>
              </a:graphicData>
            </a:graphic>
          </wp:inline>
        </w:drawing>
      </w:r>
      <w:r>
        <w:rPr>
          <w:rFonts w:hint="eastAsia" w:ascii="宋体" w:hAnsi="宋体" w:cs="宋体"/>
          <w:color w:val="000000"/>
          <w:sz w:val="21"/>
          <w:szCs w:val="21"/>
        </w:rPr>
        <w:t xml:space="preserve"> </w:t>
      </w:r>
    </w:p>
    <w:p w14:paraId="379B81CE">
      <w:pPr>
        <w:spacing w:before="60" w:after="120"/>
        <w:jc w:val="center"/>
        <w:rPr>
          <w:rFonts w:hint="eastAsia" w:ascii="宋体" w:hAnsi="宋体" w:cs="宋体"/>
          <w:color w:val="000000"/>
          <w:sz w:val="21"/>
          <w:szCs w:val="21"/>
        </w:rPr>
      </w:pPr>
      <w:r>
        <w:rPr>
          <w:rFonts w:hint="eastAsia" w:ascii="宋体" w:hAnsi="宋体" w:cs="宋体"/>
          <w:color w:val="000000"/>
          <w:sz w:val="21"/>
          <w:szCs w:val="21"/>
        </w:rPr>
        <w:t>图</w:t>
      </w:r>
      <w:r>
        <w:rPr>
          <w:rFonts w:cs="Times New Roman"/>
          <w:color w:val="000000"/>
          <w:sz w:val="21"/>
          <w:szCs w:val="21"/>
        </w:rPr>
        <w:t xml:space="preserve">5-2 </w:t>
      </w:r>
      <w:r>
        <w:rPr>
          <w:rFonts w:hint="eastAsia" w:ascii="宋体" w:hAnsi="宋体" w:cs="宋体"/>
          <w:color w:val="000000"/>
          <w:sz w:val="21"/>
          <w:szCs w:val="21"/>
        </w:rPr>
        <w:t>教学模块中的器材拖拽、四透镜模型和即时耦合结果</w:t>
      </w:r>
    </w:p>
    <w:p w14:paraId="63CF9347">
      <w:pPr>
        <w:keepNext/>
        <w:keepLines/>
        <w:spacing w:before="249" w:beforeLines="80" w:after="249" w:afterLines="80" w:line="300" w:lineRule="auto"/>
        <w:ind w:left="0" w:leftChars="0"/>
        <w:outlineLvl w:val="1"/>
        <w:rPr>
          <w:rFonts w:eastAsia="黑体" w:cs="Times New Roman"/>
          <w:b/>
          <w:color w:val="000000"/>
          <w:sz w:val="30"/>
          <w:szCs w:val="30"/>
        </w:rPr>
      </w:pPr>
      <w:r>
        <w:rPr>
          <w:rFonts w:eastAsia="黑体" w:cs="Times New Roman"/>
          <w:b/>
          <w:bCs/>
          <w:color w:val="000000"/>
          <w:sz w:val="30"/>
          <w:szCs w:val="30"/>
        </w:rPr>
        <w:t xml:space="preserve">5.3 </w:t>
      </w:r>
      <w:r>
        <w:rPr>
          <w:rFonts w:ascii="黑体" w:hAnsi="黑体" w:eastAsia="黑体" w:cs="Times New Roman"/>
          <w:b/>
          <w:bCs/>
          <w:color w:val="000000"/>
          <w:sz w:val="30"/>
          <w:szCs w:val="30"/>
        </w:rPr>
        <w:t>建模模块</w:t>
      </w:r>
    </w:p>
    <w:p w14:paraId="2D51E3A9">
      <w:pPr>
        <w:ind w:firstLine="480"/>
        <w:rPr>
          <w:rFonts w:cs="Times New Roman"/>
          <w:color w:val="000000"/>
        </w:rPr>
      </w:pPr>
      <w:r>
        <w:rPr>
          <w:rFonts w:ascii="宋体" w:hAnsi="宋体" w:cs="Times New Roman"/>
          <w:color w:val="000000"/>
        </w:rPr>
        <w:t>建模模块支持按照元件参数建模，也支持按照镜头采样组织数据。数据来源包括平台内置数据集、外部导入数据集和由仿真数据自动生成的数据集。以仿真数据为基准生成数据时，平台将工程参数研究与建模过程衔接起来，使每个训练样本都能够对应到物理仿真输入和输出。</w:t>
      </w:r>
    </w:p>
    <w:p w14:paraId="39978E35">
      <w:pPr>
        <w:ind w:firstLine="480"/>
        <w:rPr>
          <w:rFonts w:cs="Times New Roman"/>
          <w:color w:val="000000"/>
        </w:rPr>
      </w:pPr>
      <w:r>
        <w:rPr>
          <w:rFonts w:ascii="宋体" w:hAnsi="宋体" w:cs="Times New Roman"/>
          <w:color w:val="000000"/>
        </w:rPr>
        <w:t>点击开始联合训练后，平台输出残差图、实测值与预测值对照、残差分布和验证误差曲线。四类视图分别用于观察单样本误差、预测与真实结果的一致性、误差是否存在系统性偏差以及训练过程是否收敛充分。训练完成的模型可在模型预测模块中直接使用，输入新的参数组合即可快速得到预测结果，为参数扫描和优化提供高速近似计算。</w:t>
      </w:r>
    </w:p>
    <w:p w14:paraId="0637497F">
      <w:pPr>
        <w:spacing w:before="100" w:beforeAutospacing="1" w:after="120"/>
        <w:jc w:val="center"/>
        <w:rPr>
          <w:rFonts w:cs="Times New Roman"/>
          <w:color w:val="000000"/>
        </w:rPr>
      </w:pPr>
      <w:r>
        <w:rPr>
          <w:rFonts w:cs="Times New Roman"/>
          <w:color w:val="000000"/>
        </w:rPr>
        <w:drawing>
          <wp:inline distT="0" distB="0" distL="0" distR="0">
            <wp:extent cx="5709920" cy="1924685"/>
            <wp:effectExtent l="0" t="0" r="5080" b="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5709920" cy="1924685"/>
                    </a:xfrm>
                    <a:prstGeom prst="rect">
                      <a:avLst/>
                    </a:prstGeom>
                    <a:noFill/>
                    <a:ln>
                      <a:noFill/>
                    </a:ln>
                  </pic:spPr>
                </pic:pic>
              </a:graphicData>
            </a:graphic>
          </wp:inline>
        </w:drawing>
      </w:r>
      <w:r>
        <w:rPr>
          <w:rFonts w:cs="Times New Roman"/>
          <w:color w:val="000000"/>
        </w:rPr>
        <w:t xml:space="preserve"> </w:t>
      </w:r>
    </w:p>
    <w:p w14:paraId="120B3022">
      <w:pPr>
        <w:spacing w:before="60" w:after="120"/>
        <w:jc w:val="center"/>
        <w:rPr>
          <w:rFonts w:hint="eastAsia" w:ascii="宋体" w:hAnsi="宋体" w:cs="宋体"/>
          <w:color w:val="000000"/>
          <w:sz w:val="21"/>
          <w:szCs w:val="21"/>
        </w:rPr>
      </w:pPr>
      <w:r>
        <w:rPr>
          <w:rFonts w:hint="eastAsia" w:ascii="宋体" w:hAnsi="宋体" w:cs="宋体"/>
          <w:color w:val="000000"/>
          <w:sz w:val="21"/>
          <w:szCs w:val="21"/>
        </w:rPr>
        <w:t>图</w:t>
      </w:r>
      <w:r>
        <w:rPr>
          <w:rFonts w:cs="Times New Roman"/>
          <w:color w:val="000000"/>
          <w:sz w:val="21"/>
          <w:szCs w:val="21"/>
        </w:rPr>
        <w:t xml:space="preserve">5-3 </w:t>
      </w:r>
      <w:r>
        <w:rPr>
          <w:rFonts w:hint="eastAsia" w:ascii="宋体" w:hAnsi="宋体" w:cs="宋体"/>
          <w:color w:val="000000"/>
          <w:sz w:val="21"/>
          <w:szCs w:val="21"/>
        </w:rPr>
        <w:t>建模模块的数据源选择与联合训练结果</w:t>
      </w:r>
    </w:p>
    <w:p w14:paraId="52423528">
      <w:pPr>
        <w:keepNext/>
        <w:keepLines/>
        <w:spacing w:before="249" w:beforeLines="80" w:after="249" w:afterLines="80" w:line="300" w:lineRule="auto"/>
        <w:ind w:left="0" w:leftChars="0"/>
        <w:outlineLvl w:val="1"/>
        <w:rPr>
          <w:rFonts w:eastAsia="黑体" w:cs="Times New Roman"/>
          <w:b/>
          <w:color w:val="000000"/>
          <w:sz w:val="30"/>
          <w:szCs w:val="30"/>
        </w:rPr>
      </w:pPr>
      <w:r>
        <w:rPr>
          <w:rFonts w:eastAsia="黑体" w:cs="Times New Roman"/>
          <w:b/>
          <w:bCs/>
          <w:color w:val="000000"/>
          <w:sz w:val="30"/>
          <w:szCs w:val="30"/>
        </w:rPr>
        <w:t xml:space="preserve">5.4 </w:t>
      </w:r>
      <w:r>
        <w:rPr>
          <w:rFonts w:ascii="黑体" w:hAnsi="黑体" w:eastAsia="黑体" w:cs="Times New Roman"/>
          <w:b/>
          <w:bCs/>
          <w:color w:val="000000"/>
          <w:sz w:val="30"/>
          <w:szCs w:val="30"/>
        </w:rPr>
        <w:t>优化模块</w:t>
      </w:r>
    </w:p>
    <w:p w14:paraId="50FE3132">
      <w:pPr>
        <w:ind w:firstLine="480"/>
        <w:rPr>
          <w:rFonts w:cs="Times New Roman"/>
          <w:color w:val="000000"/>
        </w:rPr>
      </w:pPr>
      <w:r>
        <w:rPr>
          <w:rFonts w:ascii="宋体" w:hAnsi="宋体" w:cs="Times New Roman"/>
          <w:color w:val="000000"/>
        </w:rPr>
        <w:t>进入优化模块后，使用者在参数列表中勾选需要优化的变量，设定目标指标和约束条件，再启动优化任务。优化过程中，界面实时显示目标指标的收敛曲线，并通过候选方案对照表呈现不同参数组合的性能、约束状态和复核结果。</w:t>
      </w:r>
    </w:p>
    <w:p w14:paraId="42B23A0F">
      <w:pPr>
        <w:ind w:firstLine="480"/>
        <w:rPr>
          <w:rFonts w:cs="Times New Roman"/>
          <w:color w:val="000000"/>
        </w:rPr>
      </w:pPr>
      <w:r>
        <w:rPr>
          <w:rFonts w:ascii="宋体" w:hAnsi="宋体" w:cs="Times New Roman"/>
          <w:color w:val="000000"/>
        </w:rPr>
        <w:t>优化完成后，界面顶部生成多个可比较的方案。使用者选择方案后，可以将其直接应用到当前工程，优化参数随即回写到系统。除多变量优化外，平台还提供参数扫描功能，可以固定其他条件，观察耦合效率随某一个参数变化的趋势，为判断局部最优、敏感区间和后续实验取值提供依据。</w:t>
      </w:r>
    </w:p>
    <w:p w14:paraId="4A6A24B2">
      <w:pPr>
        <w:spacing w:before="100" w:beforeAutospacing="1" w:after="120"/>
        <w:jc w:val="center"/>
        <w:rPr>
          <w:rFonts w:cs="Times New Roman"/>
          <w:color w:val="000000"/>
        </w:rPr>
      </w:pPr>
      <w:r>
        <w:rPr>
          <w:rFonts w:cs="Times New Roman"/>
          <w:color w:val="000000"/>
        </w:rPr>
        <w:drawing>
          <wp:inline distT="0" distB="0" distL="0" distR="0">
            <wp:extent cx="5709920" cy="3221355"/>
            <wp:effectExtent l="0" t="0" r="5080" b="0"/>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5709920" cy="3221355"/>
                    </a:xfrm>
                    <a:prstGeom prst="rect">
                      <a:avLst/>
                    </a:prstGeom>
                    <a:noFill/>
                    <a:ln>
                      <a:noFill/>
                    </a:ln>
                  </pic:spPr>
                </pic:pic>
              </a:graphicData>
            </a:graphic>
          </wp:inline>
        </w:drawing>
      </w:r>
      <w:r>
        <w:rPr>
          <w:rFonts w:cs="Times New Roman"/>
          <w:color w:val="000000"/>
        </w:rPr>
        <w:t xml:space="preserve"> </w:t>
      </w:r>
    </w:p>
    <w:p w14:paraId="650E92EF">
      <w:pPr>
        <w:spacing w:before="60" w:after="120"/>
        <w:jc w:val="center"/>
        <w:rPr>
          <w:rFonts w:ascii="Arial" w:hAnsi="Arial" w:eastAsia="黑体" w:cs="Times New Roman"/>
          <w:color w:val="000000"/>
          <w:sz w:val="20"/>
          <w:szCs w:val="20"/>
        </w:rPr>
      </w:pPr>
      <w:r>
        <w:rPr>
          <w:rFonts w:ascii="宋体" w:hAnsi="宋体" w:cs="Times New Roman"/>
          <w:color w:val="000000"/>
          <w:sz w:val="21"/>
          <w:szCs w:val="21"/>
        </w:rPr>
        <w:t>图</w:t>
      </w:r>
      <w:r>
        <w:rPr>
          <w:rFonts w:cs="Times New Roman"/>
          <w:color w:val="000000"/>
          <w:sz w:val="21"/>
          <w:szCs w:val="21"/>
        </w:rPr>
        <w:t xml:space="preserve">5-4 </w:t>
      </w:r>
      <w:r>
        <w:rPr>
          <w:rFonts w:ascii="宋体" w:hAnsi="宋体" w:cs="Times New Roman"/>
          <w:color w:val="000000"/>
          <w:sz w:val="21"/>
          <w:szCs w:val="21"/>
        </w:rPr>
        <w:t>优化模块的收敛曲线与候选方案列表</w:t>
      </w:r>
    </w:p>
    <w:p w14:paraId="7B27C598">
      <w:pPr>
        <w:keepNext/>
        <w:keepLines/>
        <w:spacing w:before="249" w:beforeLines="80" w:after="249" w:afterLines="80" w:line="300" w:lineRule="auto"/>
        <w:ind w:left="0" w:leftChars="0"/>
        <w:outlineLvl w:val="1"/>
        <w:rPr>
          <w:rFonts w:eastAsia="黑体" w:cs="Times New Roman"/>
          <w:b/>
          <w:color w:val="000000"/>
          <w:sz w:val="30"/>
          <w:szCs w:val="30"/>
        </w:rPr>
      </w:pPr>
      <w:r>
        <w:rPr>
          <w:rFonts w:eastAsia="黑体" w:cs="Times New Roman"/>
          <w:b/>
          <w:bCs/>
          <w:color w:val="000000"/>
          <w:sz w:val="30"/>
          <w:szCs w:val="30"/>
        </w:rPr>
        <w:t xml:space="preserve">5.5 SHAP </w:t>
      </w:r>
      <w:r>
        <w:rPr>
          <w:rFonts w:ascii="黑体" w:hAnsi="黑体" w:eastAsia="黑体" w:cs="Times New Roman"/>
          <w:b/>
          <w:bCs/>
          <w:color w:val="000000"/>
          <w:sz w:val="30"/>
          <w:szCs w:val="30"/>
        </w:rPr>
        <w:t>解释模块</w:t>
      </w:r>
    </w:p>
    <w:p w14:paraId="3FD45234">
      <w:pPr>
        <w:ind w:firstLine="480"/>
        <w:rPr>
          <w:rFonts w:cs="Times New Roman"/>
          <w:color w:val="000000"/>
        </w:rPr>
      </w:pPr>
      <w:r>
        <w:rPr>
          <w:rFonts w:ascii="宋体" w:hAnsi="宋体" w:cs="Times New Roman"/>
          <w:color w:val="000000"/>
        </w:rPr>
        <w:t>为解释模型预测和优化结果背后的依据，平台提供</w:t>
      </w:r>
      <w:r>
        <w:rPr>
          <w:rFonts w:cs="Times New Roman"/>
          <w:color w:val="000000"/>
        </w:rPr>
        <w:t xml:space="preserve"> SHAP </w:t>
      </w:r>
      <w:r>
        <w:rPr>
          <w:rFonts w:ascii="宋体" w:hAnsi="宋体" w:cs="Times New Roman"/>
          <w:color w:val="000000"/>
        </w:rPr>
        <w:t>解释模块。使用者选择已经训练的模型并发起分析后，平台输出全局特征重要性排名、蜂群图、特征依赖网格图、单变量依赖趋势图、物理一致性图和瀑布图。全局视图用于判断哪些参数在整体样本中最重要，局部视图用于解释某一个候选方案的预测值由哪些参数共同形成。</w:t>
      </w:r>
    </w:p>
    <w:p w14:paraId="4F6263A4">
      <w:pPr>
        <w:ind w:firstLine="480"/>
        <w:rPr>
          <w:rFonts w:cs="Times New Roman"/>
          <w:color w:val="000000"/>
        </w:rPr>
      </w:pPr>
      <w:r>
        <w:rPr>
          <w:rFonts w:ascii="宋体" w:hAnsi="宋体" w:cs="Times New Roman"/>
          <w:color w:val="000000"/>
        </w:rPr>
        <w:t>对于贡献度较高的参数，平台进一步给出对应的物理解释，将统计结论与光斑尺寸、焦面位置、波前曲率、横向偏移或轴向离焦等光学量联系起来。</w:t>
      </w:r>
      <w:r>
        <w:rPr>
          <w:rFonts w:cs="Times New Roman"/>
          <w:color w:val="000000"/>
        </w:rPr>
        <w:t xml:space="preserve">SHAP </w:t>
      </w:r>
      <w:r>
        <w:rPr>
          <w:rFonts w:ascii="宋体" w:hAnsi="宋体" w:cs="Times New Roman"/>
          <w:color w:val="000000"/>
        </w:rPr>
        <w:t>结果不被单独当作因果证明，而是与单变量扫描、解析公式和正式物理复算交叉检查；只有当模型解释与光学规律基本一致时，才把它作为参数筛选和实验设计的依据。</w:t>
      </w:r>
    </w:p>
    <w:p w14:paraId="0C9560C0">
      <w:pPr>
        <w:spacing w:before="100" w:beforeAutospacing="1" w:after="120"/>
        <w:jc w:val="center"/>
        <w:rPr>
          <w:rFonts w:cs="Times New Roman"/>
          <w:color w:val="000000"/>
        </w:rPr>
      </w:pPr>
      <w:r>
        <w:rPr>
          <w:rFonts w:cs="Times New Roman"/>
          <w:color w:val="000000"/>
        </w:rPr>
        <w:drawing>
          <wp:inline distT="0" distB="0" distL="0" distR="0">
            <wp:extent cx="4829175" cy="2492375"/>
            <wp:effectExtent l="0" t="0" r="0" b="3175"/>
            <wp:docPr id="19710076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07678" name="图片 6"/>
                    <pic:cNvPicPr>
                      <a:picLocks noChangeAspect="1" noChangeArrowheads="1"/>
                    </pic:cNvPicPr>
                  </pic:nvPicPr>
                  <pic:blipFill>
                    <a:blip r:embed="rId87">
                      <a:extLst>
                        <a:ext uri="{28A0092B-C50C-407E-A947-70E740481C1C}">
                          <a14:useLocalDpi xmlns:a14="http://schemas.microsoft.com/office/drawing/2010/main" val="0"/>
                        </a:ext>
                      </a:extLst>
                    </a:blip>
                    <a:srcRect l="29663" t="33407" r="1069" b="10157"/>
                    <a:stretch>
                      <a:fillRect/>
                    </a:stretch>
                  </pic:blipFill>
                  <pic:spPr>
                    <a:xfrm>
                      <a:off x="0" y="0"/>
                      <a:ext cx="4834585" cy="2495631"/>
                    </a:xfrm>
                    <a:prstGeom prst="rect">
                      <a:avLst/>
                    </a:prstGeom>
                    <a:noFill/>
                    <a:ln>
                      <a:noFill/>
                    </a:ln>
                  </pic:spPr>
                </pic:pic>
              </a:graphicData>
            </a:graphic>
          </wp:inline>
        </w:drawing>
      </w:r>
    </w:p>
    <w:p w14:paraId="59AD54E1">
      <w:pPr>
        <w:spacing w:before="60" w:after="120"/>
        <w:jc w:val="center"/>
        <w:rPr>
          <w:rFonts w:ascii="宋体" w:hAnsi="宋体" w:cs="Times New Roman"/>
          <w:color w:val="000000"/>
          <w:sz w:val="21"/>
          <w:szCs w:val="21"/>
        </w:rPr>
      </w:pPr>
      <w:r>
        <w:rPr>
          <w:rFonts w:ascii="宋体" w:hAnsi="宋体" w:cs="Times New Roman"/>
          <w:color w:val="000000"/>
          <w:sz w:val="21"/>
          <w:szCs w:val="21"/>
        </w:rPr>
        <w:t>图</w:t>
      </w:r>
      <w:r>
        <w:rPr>
          <w:rFonts w:cs="Times New Roman"/>
          <w:color w:val="000000"/>
          <w:sz w:val="21"/>
          <w:szCs w:val="21"/>
        </w:rPr>
        <w:t xml:space="preserve">5-5 SHAP </w:t>
      </w:r>
      <w:r>
        <w:rPr>
          <w:rFonts w:ascii="宋体" w:hAnsi="宋体" w:cs="Times New Roman"/>
          <w:color w:val="000000"/>
          <w:sz w:val="21"/>
          <w:szCs w:val="21"/>
        </w:rPr>
        <w:t>解释模块的特征重要性图</w:t>
      </w:r>
    </w:p>
    <w:p w14:paraId="75993BF6">
      <w:pPr>
        <w:rPr>
          <w:rFonts w:hint="eastAsia"/>
        </w:rPr>
      </w:pPr>
      <w:r>
        <w:rPr>
          <w:rFonts w:hint="eastAsia"/>
        </w:rPr>
        <w:t>为研究SHAP的准确性，进行逐点扫描，结果如图5-6所示</w:t>
      </w:r>
    </w:p>
    <w:p w14:paraId="1C251813">
      <w:pPr>
        <w:spacing w:before="60" w:after="120"/>
        <w:jc w:val="center"/>
        <w:rPr>
          <w:rFonts w:ascii="Arial" w:hAnsi="Arial" w:eastAsia="黑体" w:cs="Times New Roman"/>
          <w:color w:val="000000"/>
          <w:sz w:val="20"/>
          <w:szCs w:val="20"/>
        </w:rPr>
      </w:pPr>
      <w:r>
        <w:drawing>
          <wp:inline distT="0" distB="0" distL="0" distR="0">
            <wp:extent cx="5940425" cy="3564255"/>
            <wp:effectExtent l="0" t="0" r="3175" b="0"/>
            <wp:docPr id="675987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87906" name="图片 1"/>
                    <pic:cNvPicPr>
                      <a:picLocks noChangeAspect="1"/>
                    </pic:cNvPicPr>
                  </pic:nvPicPr>
                  <pic:blipFill>
                    <a:blip r:embed="rId88"/>
                    <a:stretch>
                      <a:fillRect/>
                    </a:stretch>
                  </pic:blipFill>
                  <pic:spPr>
                    <a:xfrm>
                      <a:off x="0" y="0"/>
                      <a:ext cx="5940425" cy="3564255"/>
                    </a:xfrm>
                    <a:prstGeom prst="rect">
                      <a:avLst/>
                    </a:prstGeom>
                  </pic:spPr>
                </pic:pic>
              </a:graphicData>
            </a:graphic>
          </wp:inline>
        </w:drawing>
      </w:r>
    </w:p>
    <w:p w14:paraId="09BC138C">
      <w:pPr>
        <w:spacing w:before="60" w:after="120"/>
        <w:jc w:val="center"/>
        <w:rPr>
          <w:rFonts w:hint="eastAsia" w:ascii="Arial" w:hAnsi="Arial" w:eastAsia="黑体" w:cs="Times New Roman"/>
          <w:color w:val="000000"/>
          <w:sz w:val="20"/>
          <w:szCs w:val="20"/>
        </w:rPr>
      </w:pPr>
      <w:r>
        <w:rPr>
          <w:rFonts w:hint="eastAsia" w:ascii="Arial" w:hAnsi="Arial" w:eastAsia="黑体" w:cs="Times New Roman"/>
          <w:color w:val="000000"/>
          <w:sz w:val="20"/>
          <w:szCs w:val="20"/>
        </w:rPr>
        <w:t>图5-6耦合效率随参数变化【待换】</w:t>
      </w:r>
    </w:p>
    <w:p w14:paraId="699E1F3E">
      <w:pPr>
        <w:keepNext/>
        <w:keepLines/>
        <w:spacing w:before="249" w:beforeLines="80" w:after="249" w:afterLines="80" w:line="300" w:lineRule="auto"/>
        <w:ind w:left="0" w:leftChars="0"/>
        <w:outlineLvl w:val="1"/>
        <w:rPr>
          <w:rFonts w:eastAsia="黑体" w:cs="Times New Roman"/>
          <w:b/>
          <w:color w:val="000000"/>
          <w:sz w:val="30"/>
          <w:szCs w:val="30"/>
        </w:rPr>
      </w:pPr>
      <w:r>
        <w:rPr>
          <w:rFonts w:eastAsia="黑体" w:cs="Times New Roman"/>
          <w:b/>
          <w:bCs/>
          <w:color w:val="000000"/>
          <w:sz w:val="30"/>
          <w:szCs w:val="30"/>
        </w:rPr>
        <w:t xml:space="preserve">5.6 </w:t>
      </w:r>
      <w:r>
        <w:rPr>
          <w:rFonts w:ascii="黑体" w:hAnsi="黑体" w:eastAsia="黑体" w:cs="Times New Roman"/>
          <w:b/>
          <w:bCs/>
          <w:color w:val="000000"/>
          <w:sz w:val="30"/>
          <w:szCs w:val="30"/>
        </w:rPr>
        <w:t>仿真模块</w:t>
      </w:r>
    </w:p>
    <w:p w14:paraId="72216FC0">
      <w:pPr>
        <w:ind w:firstLine="480"/>
        <w:rPr>
          <w:rFonts w:cs="Times New Roman"/>
          <w:color w:val="000000"/>
        </w:rPr>
      </w:pPr>
      <w:r>
        <w:rPr>
          <w:rFonts w:ascii="宋体" w:hAnsi="宋体" w:cs="Times New Roman"/>
          <w:color w:val="000000"/>
        </w:rPr>
        <w:t>仿真模块用于对当前工程或优化方案进行正式物理验证。除理想光学参数外，平台还允许设置温度和气压等环境条件，以反映材料性能和传播状态在真实环境中的变化。透镜位置、镜间距、曲率半径、厚度、有效孔径和光纤端面位置等参数均可在工程中调整，并在提交任务前经过边界和可行性检查。</w:t>
      </w:r>
    </w:p>
    <w:p w14:paraId="07C91DFA">
      <w:pPr>
        <w:ind w:firstLine="480"/>
        <w:rPr>
          <w:rFonts w:cs="Times New Roman"/>
          <w:color w:val="000000"/>
        </w:rPr>
      </w:pPr>
      <w:r>
        <w:rPr>
          <w:rFonts w:ascii="宋体" w:hAnsi="宋体" w:cs="Times New Roman"/>
          <w:color w:val="000000"/>
        </w:rPr>
        <w:t>使用者可以直接调用优化模块得到的参数，点击运行按钮提交仿真。计算完成后，平台依次展示光路图、光斑图、光纤耦合结果以及波前与衍射分析：光路图用于观察光线在四片透镜之间的传播和会聚，光斑图用于查看尺寸、形状与能量分布，耦合结果用于判断入射场与目标模式的匹配程度，波前与衍射分析则用于评价光束质量和相位传播状态。</w:t>
      </w:r>
    </w:p>
    <w:p w14:paraId="498FB1CC">
      <w:pPr>
        <w:ind w:firstLine="480"/>
        <w:rPr>
          <w:rFonts w:cs="Times New Roman"/>
          <w:color w:val="000000"/>
        </w:rPr>
      </w:pPr>
      <w:r>
        <w:rPr>
          <w:rFonts w:ascii="宋体" w:hAnsi="宋体" w:cs="Times New Roman"/>
          <w:color w:val="000000"/>
        </w:rPr>
        <w:t>仿真结果与工程快照绑定，使用者可以在不同结果文档之间切换，也可以返回参数页面修改方案后重新计算。正式仿真结果是建模、优化和</w:t>
      </w:r>
      <w:r>
        <w:rPr>
          <w:rFonts w:cs="Times New Roman"/>
          <w:color w:val="000000"/>
        </w:rPr>
        <w:t xml:space="preserve"> SHAP </w:t>
      </w:r>
      <w:r>
        <w:rPr>
          <w:rFonts w:ascii="宋体" w:hAnsi="宋体" w:cs="Times New Roman"/>
          <w:color w:val="000000"/>
        </w:rPr>
        <w:t>分析的物理依据；当代理模型提出候选方案时，平台仍要求回到仿真模块进行独立复核。</w:t>
      </w:r>
    </w:p>
    <w:p w14:paraId="28A4BEDF">
      <w:pPr>
        <w:spacing w:before="100" w:beforeAutospacing="1" w:after="120"/>
        <w:jc w:val="center"/>
        <w:rPr>
          <w:rFonts w:cs="Times New Roman"/>
          <w:color w:val="000000"/>
        </w:rPr>
      </w:pPr>
      <w:r>
        <w:rPr>
          <w:rFonts w:cs="Times New Roman"/>
          <w:color w:val="000000"/>
        </w:rPr>
        <w:drawing>
          <wp:inline distT="0" distB="0" distL="0" distR="0">
            <wp:extent cx="5709920" cy="3838575"/>
            <wp:effectExtent l="0" t="0" r="5080" b="952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5709920" cy="3838575"/>
                    </a:xfrm>
                    <a:prstGeom prst="rect">
                      <a:avLst/>
                    </a:prstGeom>
                    <a:noFill/>
                    <a:ln>
                      <a:noFill/>
                    </a:ln>
                  </pic:spPr>
                </pic:pic>
              </a:graphicData>
            </a:graphic>
          </wp:inline>
        </w:drawing>
      </w:r>
      <w:r>
        <w:rPr>
          <w:rFonts w:cs="Times New Roman"/>
          <w:color w:val="000000"/>
        </w:rPr>
        <w:t xml:space="preserve"> </w:t>
      </w:r>
    </w:p>
    <w:p w14:paraId="533B29BB">
      <w:pPr>
        <w:spacing w:before="60" w:after="120"/>
        <w:jc w:val="center"/>
        <w:rPr>
          <w:rFonts w:ascii="宋体" w:hAnsi="宋体" w:cs="Times New Roman"/>
          <w:color w:val="000000"/>
          <w:sz w:val="21"/>
          <w:szCs w:val="21"/>
        </w:rPr>
      </w:pPr>
      <w:r>
        <w:rPr>
          <w:rFonts w:ascii="宋体" w:hAnsi="宋体" w:cs="Times New Roman"/>
          <w:color w:val="000000"/>
          <w:sz w:val="21"/>
          <w:szCs w:val="21"/>
        </w:rPr>
        <w:t>图</w:t>
      </w:r>
      <w:r>
        <w:rPr>
          <w:rFonts w:cs="Times New Roman"/>
          <w:color w:val="000000"/>
          <w:sz w:val="21"/>
          <w:szCs w:val="21"/>
        </w:rPr>
        <w:t xml:space="preserve">5-6 </w:t>
      </w:r>
      <w:r>
        <w:rPr>
          <w:rFonts w:ascii="宋体" w:hAnsi="宋体" w:cs="Times New Roman"/>
          <w:color w:val="000000"/>
          <w:sz w:val="21"/>
          <w:szCs w:val="21"/>
        </w:rPr>
        <w:t>仿真模块的光路、光斑、耦合及波前分析结果</w:t>
      </w:r>
    </w:p>
    <w:p w14:paraId="075777BF">
      <w:pPr>
        <w:rPr>
          <w:rFonts w:hint="eastAsia"/>
        </w:rPr>
      </w:pPr>
      <w:r>
        <w:rPr>
          <w:rFonts w:hint="eastAsia"/>
        </w:rPr>
        <w:t>在</w:t>
      </w:r>
      <w:r>
        <w:t>波长：780 nm；光源腰斑尺寸：</w:t>
      </w:r>
      <w:r>
        <w:rPr>
          <w:rFonts w:hint="eastAsia"/>
        </w:rPr>
        <w:t xml:space="preserve">x方向束腰半径为0.893mm，y方向束腰半径1.05mm，x方向M2为3.05，y方向M2为1.33，改变第一个透镜的前表面曲率半径，结果如图5-7所示。 </w:t>
      </w:r>
    </w:p>
    <w:p w14:paraId="097DDCF4">
      <w:pPr>
        <w:rPr>
          <w:lang w:bidi="ar"/>
        </w:rPr>
      </w:pPr>
      <w:r>
        <w:drawing>
          <wp:inline distT="0" distB="0" distL="0" distR="0">
            <wp:extent cx="5940425" cy="5148580"/>
            <wp:effectExtent l="0" t="0" r="3175" b="0"/>
            <wp:docPr id="924839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39151" name="图片 1"/>
                    <pic:cNvPicPr>
                      <a:picLocks noChangeAspect="1"/>
                    </pic:cNvPicPr>
                  </pic:nvPicPr>
                  <pic:blipFill>
                    <a:blip r:embed="rId90"/>
                    <a:stretch>
                      <a:fillRect/>
                    </a:stretch>
                  </pic:blipFill>
                  <pic:spPr>
                    <a:xfrm>
                      <a:off x="0" y="0"/>
                      <a:ext cx="5940425" cy="5148580"/>
                    </a:xfrm>
                    <a:prstGeom prst="rect">
                      <a:avLst/>
                    </a:prstGeom>
                  </pic:spPr>
                </pic:pic>
              </a:graphicData>
            </a:graphic>
          </wp:inline>
        </w:drawing>
      </w:r>
    </w:p>
    <w:p w14:paraId="5EA560C2">
      <w:pPr>
        <w:spacing w:before="60" w:after="120"/>
        <w:jc w:val="center"/>
        <w:rPr>
          <w:rFonts w:hint="eastAsia" w:ascii="Arial" w:hAnsi="Arial" w:eastAsia="黑体" w:cs="Times New Roman"/>
          <w:color w:val="000000"/>
          <w:sz w:val="20"/>
          <w:szCs w:val="20"/>
        </w:rPr>
      </w:pPr>
      <w:r>
        <w:rPr>
          <w:rFonts w:hint="eastAsia" w:ascii="Arial" w:hAnsi="Arial" w:eastAsia="黑体" w:cs="Times New Roman"/>
          <w:color w:val="000000"/>
          <w:sz w:val="20"/>
          <w:szCs w:val="20"/>
        </w:rPr>
        <w:t>图5-7仿真结果</w:t>
      </w:r>
    </w:p>
    <w:p w14:paraId="1FBCD808">
      <w:pPr>
        <w:keepNext/>
        <w:keepLines/>
        <w:spacing w:before="249" w:beforeLines="80" w:after="249" w:afterLines="80" w:line="300" w:lineRule="auto"/>
        <w:ind w:left="0" w:leftChars="0"/>
        <w:outlineLvl w:val="1"/>
        <w:rPr>
          <w:rFonts w:eastAsia="黑体" w:cs="Times New Roman"/>
          <w:b/>
          <w:color w:val="000000"/>
          <w:sz w:val="30"/>
          <w:szCs w:val="30"/>
        </w:rPr>
      </w:pPr>
      <w:r>
        <w:rPr>
          <w:rFonts w:eastAsia="黑体" w:cs="Times New Roman"/>
          <w:b/>
          <w:bCs/>
          <w:color w:val="000000"/>
          <w:sz w:val="30"/>
          <w:szCs w:val="30"/>
        </w:rPr>
        <w:t xml:space="preserve">5.7 </w:t>
      </w:r>
      <w:r>
        <w:rPr>
          <w:rFonts w:ascii="黑体" w:hAnsi="黑体" w:eastAsia="黑体" w:cs="Times New Roman"/>
          <w:b/>
          <w:bCs/>
          <w:color w:val="000000"/>
          <w:sz w:val="30"/>
          <w:szCs w:val="30"/>
        </w:rPr>
        <w:t xml:space="preserve">模块联动与 </w:t>
      </w:r>
      <w:r>
        <w:rPr>
          <w:rFonts w:eastAsia="黑体" w:cs="Times New Roman"/>
          <w:b/>
          <w:bCs/>
          <w:color w:val="000000"/>
          <w:sz w:val="30"/>
          <w:szCs w:val="30"/>
        </w:rPr>
        <w:t xml:space="preserve">AI </w:t>
      </w:r>
      <w:r>
        <w:rPr>
          <w:rFonts w:ascii="黑体" w:hAnsi="黑体" w:eastAsia="黑体" w:cs="Times New Roman"/>
          <w:b/>
          <w:bCs/>
          <w:color w:val="000000"/>
          <w:sz w:val="30"/>
          <w:szCs w:val="30"/>
        </w:rPr>
        <w:t>辅助</w:t>
      </w:r>
    </w:p>
    <w:p w14:paraId="2AB8705E">
      <w:pPr>
        <w:ind w:firstLine="480"/>
        <w:rPr>
          <w:rFonts w:cs="Times New Roman"/>
          <w:color w:val="000000"/>
        </w:rPr>
      </w:pPr>
      <w:r>
        <w:rPr>
          <w:rFonts w:ascii="宋体" w:hAnsi="宋体" w:cs="Times New Roman"/>
          <w:color w:val="000000"/>
        </w:rPr>
        <w:t>平台的功能区不是相互独立的页面，而是围绕同一工程快照形成连续链路。教学模块可以从器材布置开始建立直观光路，仿真模块将其转化为正式计算，建模模块把仿真结果组织为数据集，优化模块从模型和正式结果中筛选参数，解释模块再将结果还原为可理解的物理原因。任一环节产生的参数、结果和状态都可回溯到对应任务，便于重复计算和实验前检查。</w:t>
      </w:r>
    </w:p>
    <w:p w14:paraId="00BB883D">
      <w:pPr>
        <w:ind w:firstLine="480" w:firstLineChars="200"/>
        <w:rPr>
          <w:rFonts w:hint="eastAsia" w:ascii="宋体" w:hAnsi="宋体" w:cs="宋体"/>
          <w:color w:val="000000"/>
        </w:rPr>
      </w:pPr>
      <w:r>
        <w:rPr>
          <w:rFonts w:ascii="宋体" w:hAnsi="宋体" w:cs="宋体"/>
          <w:color w:val="000000"/>
        </w:rPr>
        <w:t>在各模块中，</w:t>
      </w:r>
      <w:r>
        <w:rPr>
          <w:rFonts w:cs="Times New Roman"/>
          <w:color w:val="000000"/>
        </w:rPr>
        <w:t xml:space="preserve">AI </w:t>
      </w:r>
      <w:r>
        <w:rPr>
          <w:rFonts w:ascii="宋体" w:hAnsi="宋体" w:cs="宋体"/>
          <w:color w:val="000000"/>
        </w:rPr>
        <w:t>可用于解释公式、说明界面指标、提示参数之间的关系和给出下一步操作建议，但不替代光学计算、约束检查和正式复算。涉及最终结论时，仍以工程快照、正式仿真结果、独立实验对比和结果版本记录为准。</w:t>
      </w:r>
    </w:p>
    <w:bookmarkEnd w:id="40"/>
    <w:p w14:paraId="35664794">
      <w:pPr>
        <w:pStyle w:val="2"/>
        <w:widowControl/>
        <w:spacing w:before="312" w:after="312"/>
      </w:pPr>
      <w:r>
        <w:t xml:space="preserve">6 </w:t>
      </w:r>
      <w:r>
        <w:rPr>
          <w:rFonts w:hint="eastAsia" w:cs="黑体"/>
        </w:rPr>
        <w:t>平台可行性验证</w:t>
      </w:r>
    </w:p>
    <w:p w14:paraId="2FD4D42E">
      <w:pPr>
        <w:pStyle w:val="3"/>
        <w:widowControl/>
        <w:spacing w:before="249" w:after="249"/>
      </w:pPr>
      <w:bookmarkStart w:id="41" w:name="_Toc23124"/>
      <w:r>
        <w:t xml:space="preserve">6.1 </w:t>
      </w:r>
      <w:r>
        <w:rPr>
          <w:rFonts w:hint="eastAsia" w:cs="黑体"/>
        </w:rPr>
        <w:t>实验一：</w:t>
      </w:r>
      <w:r>
        <w:t xml:space="preserve">CCD </w:t>
      </w:r>
      <w:r>
        <w:rPr>
          <w:rFonts w:hint="eastAsia" w:cs="黑体"/>
        </w:rPr>
        <w:t>拍摄单透镜光斑与</w:t>
      </w:r>
      <w:r>
        <w:t xml:space="preserve"> RMS </w:t>
      </w:r>
      <w:r>
        <w:rPr>
          <w:rFonts w:hint="eastAsia" w:cs="黑体"/>
        </w:rPr>
        <w:t>半径计算</w:t>
      </w:r>
      <w:bookmarkEnd w:id="41"/>
    </w:p>
    <w:p w14:paraId="12DCBEBB">
      <w:pPr>
        <w:ind w:firstLine="480" w:firstLineChars="200"/>
      </w:pPr>
      <w:r>
        <w:rPr>
          <w:rFonts w:hint="eastAsia" w:cs="宋体"/>
          <w:lang w:bidi="ar"/>
        </w:rPr>
        <w:t>为验证平台对光斑尺寸的预测能力，实验一采用</w:t>
      </w:r>
      <w:r>
        <w:rPr>
          <w:rFonts w:cs="Times New Roman"/>
          <w:lang w:bidi="ar"/>
        </w:rPr>
        <w:t xml:space="preserve"> CCD </w:t>
      </w:r>
      <w:r>
        <w:rPr>
          <w:rFonts w:hint="eastAsia" w:cs="宋体"/>
          <w:lang w:bidi="ar"/>
        </w:rPr>
        <w:t>拍摄单透镜在不同位置下形成的光斑，并计算光斑</w:t>
      </w:r>
      <w:r>
        <w:rPr>
          <w:rFonts w:cs="Times New Roman"/>
          <w:lang w:bidi="ar"/>
        </w:rPr>
        <w:t xml:space="preserve"> RMS </w:t>
      </w:r>
      <w:r>
        <w:rPr>
          <w:rFonts w:hint="eastAsia" w:cs="宋体"/>
          <w:lang w:bidi="ar"/>
        </w:rPr>
        <w:t>半径，将结果与平台及</w:t>
      </w:r>
      <w:r>
        <w:rPr>
          <w:rFonts w:cs="Times New Roman"/>
          <w:lang w:bidi="ar"/>
        </w:rPr>
        <w:t xml:space="preserve"> Zemax </w:t>
      </w:r>
      <w:r>
        <w:rPr>
          <w:rFonts w:hint="eastAsia" w:cs="宋体"/>
          <w:lang w:bidi="ar"/>
        </w:rPr>
        <w:t>仿真进行比较。该实验主要验证从光源、透镜到接收面的光斑传播计算。</w:t>
      </w:r>
    </w:p>
    <w:p w14:paraId="398DD37E">
      <w:pPr>
        <w:pStyle w:val="4"/>
        <w:widowControl/>
        <w:spacing w:before="156" w:after="156"/>
      </w:pPr>
      <w:bookmarkStart w:id="42" w:name="_Toc13539"/>
      <w:r>
        <w:t xml:space="preserve">6.1.1 </w:t>
      </w:r>
      <w:r>
        <w:rPr>
          <w:rFonts w:hint="eastAsia" w:cs="黑体"/>
        </w:rPr>
        <w:t>实验目的</w:t>
      </w:r>
      <w:bookmarkEnd w:id="42"/>
    </w:p>
    <w:p w14:paraId="10F74E29">
      <w:pPr>
        <w:ind w:firstLine="480" w:firstLineChars="200"/>
      </w:pPr>
      <w:r>
        <w:rPr>
          <w:rFonts w:hint="eastAsia" w:cs="宋体"/>
          <w:lang w:bidi="ar"/>
        </w:rPr>
        <w:t>用</w:t>
      </w:r>
      <w:r>
        <w:rPr>
          <w:rFonts w:cs="Times New Roman"/>
          <w:lang w:bidi="ar"/>
        </w:rPr>
        <w:t xml:space="preserve"> CCD </w:t>
      </w:r>
      <w:r>
        <w:rPr>
          <w:rFonts w:hint="eastAsia" w:cs="宋体"/>
          <w:lang w:bidi="ar"/>
        </w:rPr>
        <w:t>拍摄不同焦距平凸透镜在不同位置下形成的光斑，计算</w:t>
      </w:r>
      <w:r>
        <w:rPr>
          <w:rFonts w:cs="Times New Roman"/>
          <w:lang w:bidi="ar"/>
        </w:rPr>
        <w:t xml:space="preserve"> X</w:t>
      </w:r>
      <w:r>
        <w:rPr>
          <w:rFonts w:hint="eastAsia" w:cs="宋体"/>
          <w:lang w:bidi="ar"/>
        </w:rPr>
        <w:t>、</w:t>
      </w:r>
      <w:r>
        <w:rPr>
          <w:rFonts w:cs="Times New Roman"/>
          <w:lang w:bidi="ar"/>
        </w:rPr>
        <w:t xml:space="preserve">Y </w:t>
      </w:r>
      <w:r>
        <w:rPr>
          <w:rFonts w:hint="eastAsia" w:cs="宋体"/>
          <w:lang w:bidi="ar"/>
        </w:rPr>
        <w:t>方向</w:t>
      </w:r>
      <w:r>
        <w:rPr>
          <w:rFonts w:cs="Times New Roman"/>
          <w:lang w:bidi="ar"/>
        </w:rPr>
        <w:t xml:space="preserve"> RMS </w:t>
      </w:r>
      <w:r>
        <w:rPr>
          <w:rFonts w:hint="eastAsia" w:cs="宋体"/>
          <w:lang w:bidi="ar"/>
        </w:rPr>
        <w:t>半径，与平台及</w:t>
      </w:r>
      <w:r>
        <w:rPr>
          <w:rFonts w:cs="Times New Roman"/>
          <w:lang w:bidi="ar"/>
        </w:rPr>
        <w:t xml:space="preserve"> Zemax </w:t>
      </w:r>
      <w:r>
        <w:rPr>
          <w:rFonts w:hint="eastAsia" w:cs="宋体"/>
          <w:lang w:bidi="ar"/>
        </w:rPr>
        <w:t>仿真结果对比，验证平台对单透镜光斑尺寸的预测能力。</w:t>
      </w:r>
    </w:p>
    <w:p w14:paraId="7A7E3602">
      <w:pPr>
        <w:pStyle w:val="4"/>
        <w:widowControl/>
        <w:spacing w:before="156" w:after="156"/>
      </w:pPr>
      <w:bookmarkStart w:id="43" w:name="_Toc27439"/>
      <w:r>
        <w:t xml:space="preserve">6.1.2 </w:t>
      </w:r>
      <w:r>
        <w:rPr>
          <w:rFonts w:hint="eastAsia" w:cs="黑体"/>
        </w:rPr>
        <w:t>实验原理</w:t>
      </w:r>
      <w:bookmarkEnd w:id="43"/>
    </w:p>
    <w:p w14:paraId="56EAF6FE">
      <w:pPr>
        <w:ind w:firstLine="480" w:firstLineChars="200"/>
      </w:pPr>
      <w:r>
        <w:rPr>
          <w:rFonts w:hint="eastAsia" w:cs="宋体"/>
          <w:lang w:bidi="ar"/>
        </w:rPr>
        <w:t>设图像中第</w:t>
      </w:r>
      <w:r>
        <w:rPr>
          <w:rFonts w:cs="Times New Roman"/>
          <w:lang w:bidi="ar"/>
        </w:rPr>
        <w:t xml:space="preserve"> i </w:t>
      </w:r>
      <w:r>
        <w:rPr>
          <w:rFonts w:hint="eastAsia" w:cs="宋体"/>
          <w:lang w:bidi="ar"/>
        </w:rPr>
        <w:t>个像素的坐标为</w:t>
      </w:r>
      <w:r>
        <w:rPr>
          <w:rFonts w:cs="Times New Roman"/>
          <w:lang w:bidi="ar"/>
        </w:rPr>
        <w:t xml:space="preserve"> xᵢ</w:t>
      </w:r>
      <w:r>
        <w:rPr>
          <w:rFonts w:hint="eastAsia" w:cs="宋体"/>
          <w:lang w:bidi="ar"/>
        </w:rPr>
        <w:t>，灰度值为</w:t>
      </w:r>
      <w:r>
        <w:rPr>
          <w:rFonts w:cs="Times New Roman"/>
          <w:lang w:bidi="ar"/>
        </w:rPr>
        <w:t xml:space="preserve"> Iᵢ</w:t>
      </w:r>
      <w:r>
        <w:rPr>
          <w:rFonts w:hint="eastAsia" w:cs="宋体"/>
          <w:lang w:bidi="ar"/>
        </w:rPr>
        <w:t>，总光强为</w:t>
      </w:r>
      <w:r>
        <w:rPr>
          <w:rFonts w:cs="Times New Roman"/>
          <w:lang w:bidi="ar"/>
        </w:rPr>
        <w:object>
          <v:shape id="_x0000_i1049" o:spt="75" type="#_x0000_t75" style="height:20.25pt;width:57.75pt;" o:ole="t" filled="f" o:preferrelative="t" stroked="f" coordsize="21600,21600">
            <v:path/>
            <v:fill on="f" focussize="0,0"/>
            <v:stroke on="f" joinstyle="miter"/>
            <v:imagedata r:id="rId92" o:title=""/>
            <o:lock v:ext="edit" aspectratio="t"/>
            <w10:wrap type="none"/>
            <w10:anchorlock/>
          </v:shape>
          <o:OLEObject Type="Embed" ProgID="Equation.DSMT4" ShapeID="_x0000_i1049" DrawAspect="Content" ObjectID="_1468075750" r:id="rId91">
            <o:LockedField>false</o:LockedField>
          </o:OLEObject>
        </w:object>
      </w:r>
      <w:r>
        <w:rPr>
          <w:rFonts w:hint="eastAsia" w:cs="宋体"/>
          <w:lang w:bidi="ar"/>
        </w:rPr>
        <w:t>。光斑质心为</w:t>
      </w:r>
      <w:r>
        <w:rPr>
          <w:rFonts w:cs="Times New Roman"/>
          <w:lang w:bidi="ar"/>
        </w:rPr>
        <w:object>
          <v:shape id="_x0000_i1050" o:spt="75" type="#_x0000_t75" style="height:20.25pt;width:87.75pt;" o:ole="t" filled="f" o:preferrelative="t" stroked="f" coordsize="21600,21600">
            <v:path/>
            <v:fill on="f" focussize="0,0"/>
            <v:stroke on="f" joinstyle="miter"/>
            <v:imagedata r:id="rId94" o:title=""/>
            <o:lock v:ext="edit" aspectratio="t"/>
            <w10:wrap type="none"/>
            <w10:anchorlock/>
          </v:shape>
          <o:OLEObject Type="Embed" ProgID="Equation.DSMT4" ShapeID="_x0000_i1050" DrawAspect="Content" ObjectID="_1468075751" r:id="rId93">
            <o:LockedField>false</o:LockedField>
          </o:OLEObject>
        </w:object>
      </w:r>
      <w:r>
        <w:rPr>
          <w:rFonts w:hint="eastAsia" w:cs="宋体"/>
          <w:lang w:bidi="ar"/>
        </w:rPr>
        <w:t>，</w:t>
      </w:r>
      <w:r>
        <w:rPr>
          <w:rFonts w:cs="Times New Roman"/>
          <w:lang w:bidi="ar"/>
        </w:rPr>
        <w:t xml:space="preserve">X </w:t>
      </w:r>
      <w:r>
        <w:rPr>
          <w:rFonts w:hint="eastAsia" w:cs="宋体"/>
          <w:lang w:bidi="ar"/>
        </w:rPr>
        <w:t>方向</w:t>
      </w:r>
      <w:r>
        <w:rPr>
          <w:rFonts w:cs="Times New Roman"/>
          <w:lang w:bidi="ar"/>
        </w:rPr>
        <w:t xml:space="preserve"> RMS </w:t>
      </w:r>
      <w:r>
        <w:rPr>
          <w:rFonts w:hint="eastAsia" w:cs="宋体"/>
          <w:lang w:bidi="ar"/>
        </w:rPr>
        <w:t>半径为</w:t>
      </w:r>
      <w:r>
        <w:rPr>
          <w:rFonts w:cs="Times New Roman"/>
          <w:lang w:bidi="ar"/>
        </w:rPr>
        <w:object>
          <v:shape id="_x0000_i1051" o:spt="75" type="#_x0000_t75" style="height:20.25pt;width:141pt;" o:ole="t" filled="f" o:preferrelative="t" stroked="f" coordsize="21600,21600">
            <v:path/>
            <v:fill on="f" focussize="0,0"/>
            <v:stroke on="f" joinstyle="miter"/>
            <v:imagedata r:id="rId96" o:title=""/>
            <o:lock v:ext="edit" aspectratio="t"/>
            <w10:wrap type="none"/>
            <w10:anchorlock/>
          </v:shape>
          <o:OLEObject Type="Embed" ProgID="Equation.DSMT4" ShapeID="_x0000_i1051" DrawAspect="Content" ObjectID="_1468075752" r:id="rId95">
            <o:LockedField>false</o:LockedField>
          </o:OLEObject>
        </w:object>
      </w:r>
      <w:r>
        <w:rPr>
          <w:rFonts w:hint="eastAsia" w:cs="宋体"/>
          <w:lang w:bidi="ar"/>
        </w:rPr>
        <w:t>，</w:t>
      </w:r>
      <w:r>
        <w:rPr>
          <w:rFonts w:cs="Times New Roman"/>
          <w:lang w:bidi="ar"/>
        </w:rPr>
        <w:t xml:space="preserve">Y </w:t>
      </w:r>
      <w:r>
        <w:rPr>
          <w:rFonts w:hint="eastAsia" w:cs="宋体"/>
          <w:lang w:bidi="ar"/>
        </w:rPr>
        <w:t>方向同理。二维</w:t>
      </w:r>
      <w:r>
        <w:rPr>
          <w:rFonts w:cs="Times New Roman"/>
          <w:lang w:bidi="ar"/>
        </w:rPr>
        <w:t xml:space="preserve"> RMS </w:t>
      </w:r>
      <w:r>
        <w:rPr>
          <w:rFonts w:hint="eastAsia" w:cs="宋体"/>
          <w:lang w:bidi="ar"/>
        </w:rPr>
        <w:t>半径由两个正交方向的结果合成。</w:t>
      </w:r>
    </w:p>
    <w:p w14:paraId="0F124951">
      <w:pPr>
        <w:pStyle w:val="4"/>
        <w:widowControl/>
        <w:spacing w:before="156" w:after="156"/>
      </w:pPr>
      <w:bookmarkStart w:id="44" w:name="_Toc18127"/>
      <w:r>
        <w:t xml:space="preserve">6.1.3 </w:t>
      </w:r>
      <w:r>
        <w:rPr>
          <w:rFonts w:hint="eastAsia" w:cs="黑体"/>
        </w:rPr>
        <w:t>实验器材与步骤</w:t>
      </w:r>
      <w:bookmarkEnd w:id="44"/>
    </w:p>
    <w:p w14:paraId="4B935023">
      <w:pPr>
        <w:ind w:firstLine="480" w:firstLineChars="200"/>
      </w:pPr>
      <w:r>
        <w:rPr>
          <w:rFonts w:hint="eastAsia" w:cs="宋体"/>
          <w:lang w:bidi="ar"/>
        </w:rPr>
        <w:t>实验器材包括</w:t>
      </w:r>
      <w:r>
        <w:rPr>
          <w:rFonts w:cs="Times New Roman"/>
          <w:lang w:bidi="ar"/>
        </w:rPr>
        <w:t xml:space="preserve"> 780 nm </w:t>
      </w:r>
      <w:r>
        <w:rPr>
          <w:rFonts w:hint="eastAsia" w:cs="宋体"/>
          <w:lang w:bidi="ar"/>
        </w:rPr>
        <w:t>激光器、焦距分别为</w:t>
      </w:r>
      <w:r>
        <w:rPr>
          <w:rFonts w:cs="Times New Roman"/>
          <w:lang w:bidi="ar"/>
        </w:rPr>
        <w:t xml:space="preserve"> 100 </w:t>
      </w:r>
      <w:r>
        <w:rPr>
          <w:rFonts w:hint="eastAsia" w:cs="宋体"/>
          <w:lang w:bidi="ar"/>
        </w:rPr>
        <w:t>、</w:t>
      </w:r>
      <w:r>
        <w:rPr>
          <w:rFonts w:cs="Times New Roman"/>
          <w:lang w:bidi="ar"/>
        </w:rPr>
        <w:t>200</w:t>
      </w:r>
      <w:r>
        <w:rPr>
          <w:rFonts w:hint="eastAsia" w:cs="宋体"/>
          <w:lang w:bidi="ar"/>
        </w:rPr>
        <w:t>、</w:t>
      </w:r>
      <w:r>
        <w:rPr>
          <w:rFonts w:cs="Times New Roman"/>
          <w:lang w:bidi="ar"/>
        </w:rPr>
        <w:t xml:space="preserve">500mm </w:t>
      </w:r>
      <w:r>
        <w:rPr>
          <w:rFonts w:hint="eastAsia" w:cs="宋体"/>
          <w:lang w:bidi="ar"/>
        </w:rPr>
        <w:t>的平凸透镜、衰减片、</w:t>
      </w:r>
      <w:r>
        <w:rPr>
          <w:rFonts w:cs="Times New Roman"/>
          <w:lang w:bidi="ar"/>
        </w:rPr>
        <w:t xml:space="preserve">CCD </w:t>
      </w:r>
      <w:r>
        <w:rPr>
          <w:rFonts w:hint="eastAsia" w:cs="宋体"/>
          <w:lang w:bidi="ar"/>
        </w:rPr>
        <w:t>相机、电脑和</w:t>
      </w:r>
      <w:r>
        <w:rPr>
          <w:rFonts w:cs="Times New Roman"/>
          <w:lang w:bidi="ar"/>
        </w:rPr>
        <w:t xml:space="preserve"> ImageJ </w:t>
      </w:r>
      <w:r>
        <w:rPr>
          <w:rFonts w:hint="eastAsia" w:cs="宋体"/>
          <w:lang w:bidi="ar"/>
        </w:rPr>
        <w:t>软件。将反射镜与</w:t>
      </w:r>
      <w:r>
        <w:rPr>
          <w:rFonts w:cs="Times New Roman"/>
          <w:lang w:bidi="ar"/>
        </w:rPr>
        <w:t xml:space="preserve"> CCD </w:t>
      </w:r>
      <w:r>
        <w:rPr>
          <w:rFonts w:hint="eastAsia" w:cs="宋体"/>
          <w:lang w:bidi="ar"/>
        </w:rPr>
        <w:t>之间的距离固定为</w:t>
      </w:r>
      <w:r>
        <w:rPr>
          <w:rFonts w:cs="Times New Roman"/>
          <w:lang w:bidi="ar"/>
        </w:rPr>
        <w:t xml:space="preserve"> 1400 mm</w:t>
      </w:r>
      <w:r>
        <w:rPr>
          <w:rFonts w:hint="eastAsia" w:cs="宋体"/>
          <w:lang w:bidi="ar"/>
        </w:rPr>
        <w:t>，分别将透镜置于距光源不同距离处，调节衰减片使光强处于</w:t>
      </w:r>
      <w:r>
        <w:rPr>
          <w:rFonts w:cs="Times New Roman"/>
          <w:lang w:bidi="ar"/>
        </w:rPr>
        <w:t xml:space="preserve"> CCD </w:t>
      </w:r>
      <w:r>
        <w:rPr>
          <w:rFonts w:hint="eastAsia" w:cs="宋体"/>
          <w:lang w:bidi="ar"/>
        </w:rPr>
        <w:t>合适的响应范围，采集并保存光斑图像，再使用</w:t>
      </w:r>
      <w:r>
        <w:rPr>
          <w:rFonts w:cs="Times New Roman"/>
          <w:lang w:bidi="ar"/>
        </w:rPr>
        <w:t xml:space="preserve"> ImageJ </w:t>
      </w:r>
      <w:r>
        <w:rPr>
          <w:rFonts w:hint="eastAsia" w:cs="宋体"/>
          <w:lang w:bidi="ar"/>
        </w:rPr>
        <w:t>提取像素坐标和灰度值，按照上述公式计算</w:t>
      </w:r>
      <w:r>
        <w:rPr>
          <w:rFonts w:cs="Times New Roman"/>
          <w:lang w:bidi="ar"/>
        </w:rPr>
        <w:t xml:space="preserve"> RMS </w:t>
      </w:r>
      <w:r>
        <w:rPr>
          <w:rFonts w:hint="eastAsia" w:cs="宋体"/>
          <w:lang w:bidi="ar"/>
        </w:rPr>
        <w:t>半径。</w:t>
      </w:r>
    </w:p>
    <w:p w14:paraId="6D7632E4">
      <w:pPr>
        <w:pStyle w:val="4"/>
        <w:widowControl/>
        <w:spacing w:before="156" w:after="156"/>
      </w:pPr>
      <w:bookmarkStart w:id="45" w:name="_Toc1812"/>
      <w:r>
        <w:t xml:space="preserve">6.1.4 </w:t>
      </w:r>
      <w:r>
        <w:rPr>
          <w:rFonts w:hint="eastAsia" w:cs="黑体"/>
        </w:rPr>
        <w:t>实验结果与仿真对比</w:t>
      </w:r>
      <w:bookmarkEnd w:id="45"/>
    </w:p>
    <w:p w14:paraId="6A8B4F69">
      <w:pPr>
        <w:ind w:firstLine="480" w:firstLineChars="200"/>
      </w:pPr>
      <w:r>
        <w:rPr>
          <w:rFonts w:hint="eastAsia" w:cs="宋体"/>
          <w:lang w:bidi="ar"/>
        </w:rPr>
        <w:t>单透镜实验得到的</w:t>
      </w:r>
      <w:r>
        <w:rPr>
          <w:rFonts w:cs="Times New Roman"/>
          <w:lang w:bidi="ar"/>
        </w:rPr>
        <w:t xml:space="preserve"> RMS </w:t>
      </w:r>
      <w:r>
        <w:rPr>
          <w:rFonts w:hint="eastAsia" w:cs="宋体"/>
          <w:lang w:bidi="ar"/>
        </w:rPr>
        <w:t>半径数据见图</w:t>
      </w:r>
      <w:r>
        <w:rPr>
          <w:rFonts w:cs="Times New Roman"/>
          <w:lang w:bidi="ar"/>
        </w:rPr>
        <w:t xml:space="preserve"> 6-1</w:t>
      </w:r>
      <w:r>
        <w:rPr>
          <w:rFonts w:hint="eastAsia" w:cs="宋体"/>
          <w:lang w:bidi="ar"/>
        </w:rPr>
        <w:t>、图</w:t>
      </w:r>
      <w:r>
        <w:rPr>
          <w:rFonts w:cs="Times New Roman"/>
          <w:lang w:bidi="ar"/>
        </w:rPr>
        <w:t>6-2</w:t>
      </w:r>
      <w:r>
        <w:rPr>
          <w:rFonts w:hint="eastAsia" w:cs="宋体"/>
          <w:lang w:bidi="ar"/>
        </w:rPr>
        <w:t>。随着透镜位置变化，实验光斑尺寸呈现与平台计算一致的变化趋势。</w:t>
      </w:r>
    </w:p>
    <w:p w14:paraId="7D724F46">
      <w:pPr>
        <w:ind w:firstLine="480" w:firstLineChars="200"/>
      </w:pPr>
      <w:r>
        <w:rPr>
          <w:rFonts w:hint="eastAsia" w:cs="宋体"/>
          <w:lang w:bidi="ar"/>
        </w:rPr>
        <w:t>在相同光源、透镜和光路条件下，分别使用本平台和</w:t>
      </w:r>
      <w:r>
        <w:rPr>
          <w:rFonts w:cs="Times New Roman"/>
          <w:lang w:bidi="ar"/>
        </w:rPr>
        <w:t xml:space="preserve"> Zemax </w:t>
      </w:r>
      <w:r>
        <w:rPr>
          <w:rFonts w:hint="eastAsia" w:cs="宋体"/>
          <w:lang w:bidi="ar"/>
        </w:rPr>
        <w:t>进行仿真。实验、平台和</w:t>
      </w:r>
      <w:r>
        <w:rPr>
          <w:rFonts w:cs="Times New Roman"/>
          <w:lang w:bidi="ar"/>
        </w:rPr>
        <w:t xml:space="preserve"> Zemax </w:t>
      </w:r>
      <w:r>
        <w:rPr>
          <w:rFonts w:hint="eastAsia" w:cs="宋体"/>
          <w:lang w:bidi="ar"/>
        </w:rPr>
        <w:t>得到的光斑形态基本一致；定量比较中，平台与实验的峰值误差在</w:t>
      </w:r>
      <w:r>
        <w:rPr>
          <w:rFonts w:cs="Times New Roman"/>
          <w:lang w:bidi="ar"/>
        </w:rPr>
        <w:t xml:space="preserve"> 10% </w:t>
      </w:r>
      <w:r>
        <w:rPr>
          <w:rFonts w:hint="eastAsia" w:cs="宋体"/>
          <w:lang w:bidi="ar"/>
        </w:rPr>
        <w:t>以内，与</w:t>
      </w:r>
      <w:r>
        <w:rPr>
          <w:rFonts w:cs="Times New Roman"/>
          <w:lang w:bidi="ar"/>
        </w:rPr>
        <w:t xml:space="preserve"> Zemax </w:t>
      </w:r>
      <w:r>
        <w:rPr>
          <w:rFonts w:hint="eastAsia" w:cs="宋体"/>
          <w:lang w:bidi="ar"/>
        </w:rPr>
        <w:t>的互验误差小于</w:t>
      </w:r>
      <w:r>
        <w:rPr>
          <w:rFonts w:cs="Times New Roman"/>
          <w:lang w:bidi="ar"/>
        </w:rPr>
        <w:t xml:space="preserve"> 1%</w:t>
      </w:r>
      <w:r>
        <w:rPr>
          <w:rFonts w:hint="eastAsia" w:cs="宋体"/>
          <w:lang w:bidi="ar"/>
        </w:rPr>
        <w:t>。该结果说明平台的光斑传播计算具有较好的可信度。</w:t>
      </w:r>
    </w:p>
    <w:p w14:paraId="2558325B">
      <w:pPr>
        <w:pStyle w:val="14"/>
        <w:spacing w:beforeAutospacing="0" w:after="120" w:afterAutospacing="0" w:line="480" w:lineRule="auto"/>
        <w:ind w:left="480"/>
      </w:pPr>
    </w:p>
    <w:p w14:paraId="4390A5B3">
      <w:pPr>
        <w:pStyle w:val="14"/>
        <w:spacing w:beforeAutospacing="0" w:after="120" w:afterAutospacing="0" w:line="480" w:lineRule="auto"/>
        <w:ind w:left="420" w:leftChars="175"/>
      </w:pPr>
      <w:r>
        <w:rPr>
          <w:color w:val="000000"/>
          <w:kern w:val="2"/>
          <w:lang w:bidi="ar"/>
        </w:rPr>
        <w:drawing>
          <wp:inline distT="0" distB="0" distL="114300" distR="114300">
            <wp:extent cx="5934075" cy="2914650"/>
            <wp:effectExtent l="0" t="0" r="9525" b="0"/>
            <wp:docPr id="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8"/>
                    <pic:cNvPicPr>
                      <a:picLocks noChangeAspect="1"/>
                    </pic:cNvPicPr>
                  </pic:nvPicPr>
                  <pic:blipFill>
                    <a:blip r:embed="rId97"/>
                    <a:stretch>
                      <a:fillRect/>
                    </a:stretch>
                  </pic:blipFill>
                  <pic:spPr>
                    <a:xfrm>
                      <a:off x="0" y="0"/>
                      <a:ext cx="5934075" cy="2914650"/>
                    </a:xfrm>
                    <a:prstGeom prst="rect">
                      <a:avLst/>
                    </a:prstGeom>
                    <a:noFill/>
                    <a:ln>
                      <a:noFill/>
                    </a:ln>
                  </pic:spPr>
                </pic:pic>
              </a:graphicData>
            </a:graphic>
          </wp:inline>
        </w:drawing>
      </w:r>
    </w:p>
    <w:p w14:paraId="1F31994C">
      <w:pPr>
        <w:pStyle w:val="14"/>
        <w:spacing w:beforeAutospacing="0" w:after="120" w:afterAutospacing="0" w:line="480" w:lineRule="auto"/>
        <w:ind w:left="420" w:leftChars="175"/>
      </w:pPr>
      <w:r>
        <w:rPr>
          <w:rFonts w:hint="eastAsia" w:cs="宋体"/>
          <w:color w:val="000000"/>
          <w:kern w:val="2"/>
          <w:lang w:bidi="ar"/>
        </w:rPr>
        <w:t>图</w:t>
      </w:r>
      <w:r>
        <w:rPr>
          <w:color w:val="000000"/>
          <w:kern w:val="2"/>
          <w:lang w:bidi="ar"/>
        </w:rPr>
        <w:t>6-1 X</w:t>
      </w:r>
      <w:r>
        <w:rPr>
          <w:rFonts w:hint="eastAsia" w:cs="宋体"/>
          <w:color w:val="000000"/>
          <w:kern w:val="2"/>
          <w:lang w:bidi="ar"/>
        </w:rPr>
        <w:t>方向的</w:t>
      </w:r>
      <w:r>
        <w:rPr>
          <w:color w:val="000000"/>
          <w:kern w:val="2"/>
          <w:lang w:bidi="ar"/>
        </w:rPr>
        <w:t>RMS</w:t>
      </w:r>
      <w:r>
        <w:rPr>
          <w:rFonts w:hint="eastAsia" w:cs="宋体"/>
          <w:color w:val="000000"/>
          <w:kern w:val="2"/>
          <w:lang w:bidi="ar"/>
        </w:rPr>
        <w:t>半径对比图</w:t>
      </w:r>
    </w:p>
    <w:p w14:paraId="4CD2C735">
      <w:pPr>
        <w:pStyle w:val="14"/>
        <w:spacing w:beforeAutospacing="0" w:after="120" w:afterAutospacing="0" w:line="480" w:lineRule="auto"/>
        <w:ind w:left="420" w:leftChars="175"/>
      </w:pPr>
      <w:r>
        <w:rPr>
          <w:color w:val="000000"/>
          <w:kern w:val="2"/>
          <w:lang w:bidi="ar"/>
        </w:rPr>
        <w:drawing>
          <wp:inline distT="0" distB="0" distL="114300" distR="114300">
            <wp:extent cx="5934075" cy="2914650"/>
            <wp:effectExtent l="0" t="0" r="9525" b="0"/>
            <wp:docPr id="1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9"/>
                    <pic:cNvPicPr>
                      <a:picLocks noChangeAspect="1"/>
                    </pic:cNvPicPr>
                  </pic:nvPicPr>
                  <pic:blipFill>
                    <a:blip r:embed="rId98"/>
                    <a:stretch>
                      <a:fillRect/>
                    </a:stretch>
                  </pic:blipFill>
                  <pic:spPr>
                    <a:xfrm>
                      <a:off x="0" y="0"/>
                      <a:ext cx="5934075" cy="2914650"/>
                    </a:xfrm>
                    <a:prstGeom prst="rect">
                      <a:avLst/>
                    </a:prstGeom>
                    <a:noFill/>
                    <a:ln>
                      <a:noFill/>
                    </a:ln>
                  </pic:spPr>
                </pic:pic>
              </a:graphicData>
            </a:graphic>
          </wp:inline>
        </w:drawing>
      </w:r>
    </w:p>
    <w:p w14:paraId="4D312AD9">
      <w:pPr>
        <w:pStyle w:val="14"/>
        <w:spacing w:beforeAutospacing="0" w:after="120" w:afterAutospacing="0" w:line="480" w:lineRule="auto"/>
        <w:ind w:left="420" w:leftChars="175"/>
      </w:pPr>
      <w:r>
        <w:rPr>
          <w:rFonts w:hint="eastAsia" w:cs="宋体"/>
          <w:color w:val="000000"/>
          <w:kern w:val="2"/>
          <w:lang w:bidi="ar"/>
        </w:rPr>
        <w:t>图</w:t>
      </w:r>
      <w:r>
        <w:rPr>
          <w:color w:val="000000"/>
          <w:kern w:val="2"/>
          <w:lang w:bidi="ar"/>
        </w:rPr>
        <w:t>6-2 Y</w:t>
      </w:r>
      <w:r>
        <w:rPr>
          <w:rFonts w:hint="eastAsia" w:cs="宋体"/>
          <w:color w:val="000000"/>
          <w:kern w:val="2"/>
          <w:lang w:bidi="ar"/>
        </w:rPr>
        <w:t>方向的</w:t>
      </w:r>
      <w:r>
        <w:rPr>
          <w:color w:val="000000"/>
          <w:kern w:val="2"/>
          <w:lang w:bidi="ar"/>
        </w:rPr>
        <w:t>RMS</w:t>
      </w:r>
      <w:r>
        <w:rPr>
          <w:rFonts w:hint="eastAsia" w:cs="宋体"/>
          <w:color w:val="000000"/>
          <w:kern w:val="2"/>
          <w:lang w:bidi="ar"/>
        </w:rPr>
        <w:t>半径对比图</w:t>
      </w:r>
    </w:p>
    <w:p w14:paraId="7245A491">
      <w:pPr>
        <w:pStyle w:val="3"/>
        <w:widowControl/>
        <w:spacing w:before="249" w:after="249"/>
      </w:pPr>
      <w:bookmarkStart w:id="46" w:name="_Toc8392"/>
      <w:r>
        <w:t xml:space="preserve">6.2 </w:t>
      </w:r>
      <w:r>
        <w:rPr>
          <w:rFonts w:hint="eastAsia" w:cs="黑体"/>
        </w:rPr>
        <w:t>实验二：光纤纵向失配下的耦合效率</w:t>
      </w:r>
      <w:bookmarkEnd w:id="46"/>
    </w:p>
    <w:p w14:paraId="74C7316E">
      <w:pPr>
        <w:pStyle w:val="4"/>
        <w:widowControl/>
        <w:spacing w:before="156" w:after="156"/>
      </w:pPr>
      <w:bookmarkStart w:id="47" w:name="_Toc2132"/>
      <w:r>
        <w:t xml:space="preserve">6.2.1 </w:t>
      </w:r>
      <w:r>
        <w:rPr>
          <w:rFonts w:hint="eastAsia" w:cs="黑体"/>
        </w:rPr>
        <w:t>实验目的</w:t>
      </w:r>
      <w:bookmarkEnd w:id="47"/>
    </w:p>
    <w:p w14:paraId="18C03263">
      <w:pPr>
        <w:ind w:firstLine="480" w:firstLineChars="200"/>
      </w:pPr>
      <w:r>
        <w:rPr>
          <w:rFonts w:hint="eastAsia" w:cs="宋体"/>
          <w:lang w:bidi="ar"/>
        </w:rPr>
        <w:t>测量光纤纵向失配条件下的耦合效率变化，并与平台计算结果比较，验证平台对轴向离焦和耦合效率变化趋势的预测能力。</w:t>
      </w:r>
    </w:p>
    <w:p w14:paraId="2059C952">
      <w:pPr>
        <w:pStyle w:val="4"/>
        <w:widowControl/>
        <w:spacing w:before="156" w:after="156"/>
      </w:pPr>
      <w:bookmarkStart w:id="48" w:name="_Toc10029"/>
      <w:r>
        <w:t xml:space="preserve">6.2.2 </w:t>
      </w:r>
      <w:r>
        <w:rPr>
          <w:rFonts w:hint="eastAsia" w:cs="黑体"/>
        </w:rPr>
        <w:t>实验原理</w:t>
      </w:r>
      <w:bookmarkEnd w:id="48"/>
    </w:p>
    <w:p w14:paraId="2F8D21F6">
      <w:pPr>
        <w:ind w:firstLine="480" w:firstLineChars="200"/>
      </w:pPr>
      <w:r>
        <w:rPr>
          <w:rFonts w:hint="eastAsia" w:cs="宋体"/>
          <w:lang w:bidi="ar"/>
        </w:rPr>
        <w:t>将两个耦合器的光轴保持重合，通过</w:t>
      </w:r>
      <w:r>
        <w:rPr>
          <w:rFonts w:cs="Times New Roman"/>
          <w:lang w:bidi="ar"/>
        </w:rPr>
        <w:t xml:space="preserve"> Z </w:t>
      </w:r>
      <w:r>
        <w:rPr>
          <w:rFonts w:hint="eastAsia" w:cs="宋体"/>
          <w:lang w:bidi="ar"/>
        </w:rPr>
        <w:t>轴平移台改变两者之间的轴向距离，形成纵向失配。最大耦合效率定义为基准最大功率与光源输出功率的比值；某一失配位置的耦合效率定义为该位置功率与基准最大功率的比值。</w:t>
      </w:r>
    </w:p>
    <w:p w14:paraId="545CA5AB">
      <w:pPr>
        <w:pStyle w:val="4"/>
        <w:widowControl/>
        <w:spacing w:before="156" w:after="156"/>
      </w:pPr>
      <w:bookmarkStart w:id="49" w:name="_Toc12248"/>
      <w:r>
        <w:t xml:space="preserve">6.2.3 </w:t>
      </w:r>
      <w:r>
        <w:rPr>
          <w:rFonts w:hint="eastAsia" w:cs="黑体"/>
        </w:rPr>
        <w:t>实验器材与步骤</w:t>
      </w:r>
      <w:bookmarkEnd w:id="49"/>
    </w:p>
    <w:p w14:paraId="014C8005">
      <w:pPr>
        <w:ind w:firstLine="480" w:firstLineChars="200"/>
      </w:pPr>
      <w:r>
        <w:rPr>
          <w:rFonts w:hint="eastAsia" w:cs="宋体"/>
          <w:lang w:bidi="ar"/>
        </w:rPr>
        <w:t>实验采用</w:t>
      </w:r>
      <w:r>
        <w:rPr>
          <w:rFonts w:cs="Times New Roman"/>
          <w:lang w:bidi="ar"/>
        </w:rPr>
        <w:t xml:space="preserve"> ASE </w:t>
      </w:r>
      <w:r>
        <w:rPr>
          <w:rFonts w:hint="eastAsia" w:cs="宋体"/>
          <w:lang w:bidi="ar"/>
        </w:rPr>
        <w:t>宽带光源、可见红光光源、两个对称大光束</w:t>
      </w:r>
      <w:r>
        <w:rPr>
          <w:rFonts w:cs="Times New Roman"/>
          <w:lang w:bidi="ar"/>
        </w:rPr>
        <w:t xml:space="preserve"> DCL </w:t>
      </w:r>
      <w:r>
        <w:rPr>
          <w:rFonts w:hint="eastAsia" w:cs="宋体"/>
          <w:lang w:bidi="ar"/>
        </w:rPr>
        <w:t>耦合器、精密多轴位移台、不同模场直径的单模光纤、功率计和探片。先用红光完成粗对准，再切换</w:t>
      </w:r>
      <w:r>
        <w:rPr>
          <w:rFonts w:cs="Times New Roman"/>
          <w:lang w:bidi="ar"/>
        </w:rPr>
        <w:t xml:space="preserve"> ASE </w:t>
      </w:r>
      <w:r>
        <w:rPr>
          <w:rFonts w:hint="eastAsia" w:cs="宋体"/>
          <w:lang w:bidi="ar"/>
        </w:rPr>
        <w:t>光源精调至最大功率，记录基准功率；随后固定</w:t>
      </w:r>
      <w:r>
        <w:rPr>
          <w:rFonts w:cs="Times New Roman"/>
          <w:lang w:bidi="ar"/>
        </w:rPr>
        <w:t xml:space="preserve"> X</w:t>
      </w:r>
      <w:r>
        <w:rPr>
          <w:rFonts w:hint="eastAsia" w:cs="宋体"/>
          <w:lang w:bidi="ar"/>
        </w:rPr>
        <w:t>、</w:t>
      </w:r>
      <w:r>
        <w:rPr>
          <w:rFonts w:cs="Times New Roman"/>
          <w:lang w:bidi="ar"/>
        </w:rPr>
        <w:t>Y</w:t>
      </w:r>
      <w:r>
        <w:rPr>
          <w:rFonts w:hint="eastAsia" w:cs="宋体"/>
          <w:lang w:bidi="ar"/>
        </w:rPr>
        <w:t>、俯仰和偏摆方向，仅调节</w:t>
      </w:r>
      <w:r>
        <w:rPr>
          <w:rFonts w:cs="Times New Roman"/>
          <w:lang w:bidi="ar"/>
        </w:rPr>
        <w:t xml:space="preserve"> Z </w:t>
      </w:r>
      <w:r>
        <w:rPr>
          <w:rFonts w:hint="eastAsia" w:cs="宋体"/>
          <w:lang w:bidi="ar"/>
        </w:rPr>
        <w:t>轴，从</w:t>
      </w:r>
      <w:r>
        <w:rPr>
          <w:rFonts w:cs="Times New Roman"/>
          <w:lang w:bidi="ar"/>
        </w:rPr>
        <w:t xml:space="preserve"> 0 mm </w:t>
      </w:r>
      <w:r>
        <w:rPr>
          <w:rFonts w:hint="eastAsia" w:cs="宋体"/>
          <w:lang w:bidi="ar"/>
        </w:rPr>
        <w:t>开始按</w:t>
      </w:r>
      <w:r>
        <w:rPr>
          <w:rFonts w:cs="Times New Roman"/>
          <w:lang w:bidi="ar"/>
        </w:rPr>
        <w:t xml:space="preserve"> </w:t>
      </w:r>
      <w:r>
        <w:rPr>
          <w:rFonts w:hint="eastAsia" w:cs="Times New Roman"/>
          <w:lang w:bidi="ar"/>
        </w:rPr>
        <w:t>0.15</w:t>
      </w:r>
      <w:r>
        <w:rPr>
          <w:rFonts w:cs="Times New Roman"/>
          <w:lang w:bidi="ar"/>
        </w:rPr>
        <w:t xml:space="preserve"> mm </w:t>
      </w:r>
      <w:r>
        <w:rPr>
          <w:rFonts w:hint="eastAsia" w:cs="宋体"/>
          <w:lang w:bidi="ar"/>
        </w:rPr>
        <w:t>间隔记录至</w:t>
      </w:r>
      <w:r>
        <w:rPr>
          <w:rFonts w:cs="Times New Roman"/>
          <w:lang w:bidi="ar"/>
        </w:rPr>
        <w:t xml:space="preserve"> 1</w:t>
      </w:r>
      <w:r>
        <w:rPr>
          <w:rFonts w:hint="eastAsia" w:cs="Times New Roman"/>
          <w:lang w:bidi="ar"/>
        </w:rPr>
        <w:t>.5</w:t>
      </w:r>
      <w:r>
        <w:rPr>
          <w:rFonts w:cs="Times New Roman"/>
          <w:lang w:bidi="ar"/>
        </w:rPr>
        <w:t xml:space="preserve"> mm </w:t>
      </w:r>
      <w:r>
        <w:rPr>
          <w:rFonts w:hint="eastAsia" w:cs="宋体"/>
          <w:lang w:bidi="ar"/>
        </w:rPr>
        <w:t>的稳定功率，并更换不同模场直径光纤重复测量。</w:t>
      </w:r>
    </w:p>
    <w:p w14:paraId="6ED7ECB2">
      <w:pPr>
        <w:pStyle w:val="4"/>
        <w:widowControl/>
        <w:spacing w:before="156" w:after="156"/>
      </w:pPr>
      <w:bookmarkStart w:id="50" w:name="_Toc29987"/>
      <w:r>
        <w:t xml:space="preserve">6.2.4 </w:t>
      </w:r>
      <w:r>
        <w:rPr>
          <w:rFonts w:hint="eastAsia" w:cs="黑体"/>
        </w:rPr>
        <w:t>实验结果</w:t>
      </w:r>
      <w:bookmarkEnd w:id="50"/>
    </w:p>
    <w:p w14:paraId="6CA0614C">
      <w:pPr>
        <w:ind w:firstLine="480" w:firstLineChars="200"/>
      </w:pPr>
      <w:r>
        <w:rPr>
          <w:rFonts w:hint="eastAsia" w:cs="宋体"/>
          <w:lang w:bidi="ar"/>
        </w:rPr>
        <w:t>不同模场直径光纤的耦合效率随纵向失配变化的曲线与平台结果进行比较，结果如图</w:t>
      </w:r>
      <w:r>
        <w:rPr>
          <w:rFonts w:cs="Times New Roman"/>
          <w:lang w:bidi="ar"/>
        </w:rPr>
        <w:t>n</w:t>
      </w:r>
      <w:r>
        <w:rPr>
          <w:rFonts w:hint="eastAsia" w:cs="宋体"/>
          <w:lang w:bidi="ar"/>
        </w:rPr>
        <w:t>和图</w:t>
      </w:r>
      <w:r>
        <w:rPr>
          <w:rFonts w:cs="Times New Roman"/>
          <w:lang w:bidi="ar"/>
        </w:rPr>
        <w:t>n+1</w:t>
      </w:r>
      <w:r>
        <w:rPr>
          <w:rFonts w:hint="eastAsia" w:cs="宋体"/>
          <w:lang w:bidi="ar"/>
        </w:rPr>
        <w:t>所示。实验结果与平台计算在变化趋势上基本一致，说明平台能够反映轴向离焦引起的模式匹配变化。</w:t>
      </w:r>
    </w:p>
    <w:p w14:paraId="5FC196EB">
      <w:pPr>
        <w:pStyle w:val="14"/>
        <w:spacing w:beforeAutospacing="0" w:after="120" w:afterAutospacing="0" w:line="480" w:lineRule="auto"/>
        <w:ind w:left="480"/>
      </w:pPr>
      <w:r>
        <w:rPr>
          <w:color w:val="000000"/>
          <w:kern w:val="2"/>
          <w:lang w:bidi="ar"/>
        </w:rPr>
        <w:drawing>
          <wp:inline distT="0" distB="0" distL="114300" distR="114300">
            <wp:extent cx="5381625" cy="3648075"/>
            <wp:effectExtent l="0" t="0" r="9525" b="9525"/>
            <wp:docPr id="1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0"/>
                    <pic:cNvPicPr>
                      <a:picLocks noChangeAspect="1"/>
                    </pic:cNvPicPr>
                  </pic:nvPicPr>
                  <pic:blipFill>
                    <a:blip r:embed="rId99"/>
                    <a:stretch>
                      <a:fillRect/>
                    </a:stretch>
                  </pic:blipFill>
                  <pic:spPr>
                    <a:xfrm>
                      <a:off x="0" y="0"/>
                      <a:ext cx="5381625" cy="3648075"/>
                    </a:xfrm>
                    <a:prstGeom prst="rect">
                      <a:avLst/>
                    </a:prstGeom>
                    <a:noFill/>
                    <a:ln>
                      <a:noFill/>
                    </a:ln>
                  </pic:spPr>
                </pic:pic>
              </a:graphicData>
            </a:graphic>
          </wp:inline>
        </w:drawing>
      </w:r>
    </w:p>
    <w:p w14:paraId="20C7AE62">
      <w:pPr>
        <w:pStyle w:val="14"/>
        <w:spacing w:beforeAutospacing="0" w:after="120" w:afterAutospacing="0" w:line="480" w:lineRule="auto"/>
        <w:ind w:left="480"/>
      </w:pPr>
      <w:r>
        <w:rPr>
          <w:rFonts w:hint="eastAsia" w:cs="宋体"/>
          <w:color w:val="000000"/>
          <w:kern w:val="2"/>
          <w:lang w:bidi="ar"/>
        </w:rPr>
        <w:t>图</w:t>
      </w:r>
      <w:r>
        <w:rPr>
          <w:color w:val="000000"/>
          <w:kern w:val="2"/>
          <w:lang w:bidi="ar"/>
        </w:rPr>
        <w:t xml:space="preserve">n </w:t>
      </w:r>
      <w:r>
        <w:rPr>
          <w:rFonts w:hint="eastAsia" w:cs="宋体"/>
          <w:color w:val="000000"/>
          <w:kern w:val="2"/>
          <w:lang w:bidi="ar"/>
        </w:rPr>
        <w:t>光纤</w:t>
      </w:r>
      <w:r>
        <w:rPr>
          <w:color w:val="000000"/>
          <w:kern w:val="2"/>
          <w:lang w:bidi="ar"/>
        </w:rPr>
        <w:t>MFD=20μm</w:t>
      </w:r>
      <w:r>
        <w:rPr>
          <w:rFonts w:hint="eastAsia" w:cs="宋体"/>
          <w:color w:val="000000"/>
          <w:kern w:val="2"/>
          <w:lang w:bidi="ar"/>
        </w:rPr>
        <w:t>时的实验与平台效率</w:t>
      </w:r>
    </w:p>
    <w:p w14:paraId="2779A67E">
      <w:pPr>
        <w:pStyle w:val="14"/>
        <w:spacing w:beforeAutospacing="0" w:after="120" w:afterAutospacing="0" w:line="480" w:lineRule="auto"/>
        <w:ind w:left="480"/>
      </w:pPr>
      <w:r>
        <w:rPr>
          <w:color w:val="000000"/>
          <w:kern w:val="2"/>
          <w:lang w:bidi="ar"/>
        </w:rPr>
        <w:drawing>
          <wp:inline distT="0" distB="0" distL="114300" distR="114300">
            <wp:extent cx="4695825" cy="3181350"/>
            <wp:effectExtent l="0" t="0" r="9525" b="0"/>
            <wp:docPr id="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1"/>
                    <pic:cNvPicPr>
                      <a:picLocks noChangeAspect="1"/>
                    </pic:cNvPicPr>
                  </pic:nvPicPr>
                  <pic:blipFill>
                    <a:blip r:embed="rId100"/>
                    <a:stretch>
                      <a:fillRect/>
                    </a:stretch>
                  </pic:blipFill>
                  <pic:spPr>
                    <a:xfrm>
                      <a:off x="0" y="0"/>
                      <a:ext cx="4695825" cy="3181350"/>
                    </a:xfrm>
                    <a:prstGeom prst="rect">
                      <a:avLst/>
                    </a:prstGeom>
                    <a:noFill/>
                    <a:ln>
                      <a:noFill/>
                    </a:ln>
                  </pic:spPr>
                </pic:pic>
              </a:graphicData>
            </a:graphic>
          </wp:inline>
        </w:drawing>
      </w:r>
    </w:p>
    <w:p w14:paraId="00F4EECB">
      <w:pPr>
        <w:pStyle w:val="14"/>
        <w:spacing w:beforeAutospacing="0" w:after="120" w:afterAutospacing="0" w:line="480" w:lineRule="auto"/>
        <w:ind w:left="480"/>
      </w:pPr>
      <w:r>
        <w:rPr>
          <w:rFonts w:hint="eastAsia" w:cs="宋体"/>
          <w:color w:val="000000"/>
          <w:kern w:val="2"/>
          <w:lang w:bidi="ar"/>
        </w:rPr>
        <w:t>图</w:t>
      </w:r>
      <w:r>
        <w:rPr>
          <w:color w:val="000000"/>
          <w:kern w:val="2"/>
          <w:lang w:bidi="ar"/>
        </w:rPr>
        <w:t xml:space="preserve">n+1 </w:t>
      </w:r>
      <w:r>
        <w:rPr>
          <w:rFonts w:hint="eastAsia" w:cs="宋体"/>
          <w:color w:val="000000"/>
          <w:kern w:val="2"/>
          <w:lang w:bidi="ar"/>
        </w:rPr>
        <w:t>光纤</w:t>
      </w:r>
      <w:r>
        <w:rPr>
          <w:color w:val="000000"/>
          <w:kern w:val="2"/>
          <w:lang w:bidi="ar"/>
        </w:rPr>
        <w:t>MFD=28μm</w:t>
      </w:r>
      <w:r>
        <w:rPr>
          <w:rFonts w:hint="eastAsia" w:cs="宋体"/>
          <w:color w:val="000000"/>
          <w:kern w:val="2"/>
          <w:lang w:bidi="ar"/>
        </w:rPr>
        <w:t>时的实验与平台效率</w:t>
      </w:r>
    </w:p>
    <w:p w14:paraId="4F798C01">
      <w:pPr>
        <w:pStyle w:val="14"/>
        <w:spacing w:beforeAutospacing="0" w:after="120" w:afterAutospacing="0" w:line="480" w:lineRule="auto"/>
        <w:ind w:leftChars="0"/>
      </w:pPr>
    </w:p>
    <w:p w14:paraId="04FCED4B">
      <w:pPr>
        <w:pStyle w:val="3"/>
        <w:widowControl/>
        <w:spacing w:before="249" w:after="249"/>
      </w:pPr>
      <w:bookmarkStart w:id="51" w:name="_Toc6799"/>
      <w:r>
        <w:t xml:space="preserve">6.3 </w:t>
      </w:r>
      <w:r>
        <w:rPr>
          <w:rFonts w:hint="eastAsia" w:cs="黑体"/>
        </w:rPr>
        <w:t>实验三：光斑分析仪测量光斑</w:t>
      </w:r>
      <w:bookmarkEnd w:id="51"/>
    </w:p>
    <w:p w14:paraId="7627F68A">
      <w:pPr>
        <w:pStyle w:val="4"/>
        <w:widowControl/>
        <w:spacing w:before="156" w:after="156"/>
      </w:pPr>
      <w:bookmarkStart w:id="52" w:name="_Toc20689"/>
      <w:r>
        <w:t xml:space="preserve">6.3.1 </w:t>
      </w:r>
      <w:r>
        <w:rPr>
          <w:rFonts w:hint="eastAsia" w:cs="黑体"/>
        </w:rPr>
        <w:t>实验目的</w:t>
      </w:r>
      <w:bookmarkEnd w:id="52"/>
    </w:p>
    <w:p w14:paraId="7629F0FC">
      <w:pPr>
        <w:ind w:firstLine="480" w:firstLineChars="200"/>
      </w:pPr>
      <w:r>
        <w:rPr>
          <w:rFonts w:hint="eastAsia" w:cs="宋体"/>
          <w:lang w:bidi="ar"/>
        </w:rPr>
        <w:t>使用光斑分析仪替代</w:t>
      </w:r>
      <w:r>
        <w:rPr>
          <w:rFonts w:cs="Times New Roman"/>
          <w:lang w:bidi="ar"/>
        </w:rPr>
        <w:t xml:space="preserve"> CCD</w:t>
      </w:r>
      <w:r>
        <w:rPr>
          <w:rFonts w:hint="eastAsia" w:cs="宋体"/>
          <w:lang w:bidi="ar"/>
        </w:rPr>
        <w:t>，测量光斑形态和尺寸，并与</w:t>
      </w:r>
      <w:r>
        <w:rPr>
          <w:rFonts w:cs="Times New Roman"/>
          <w:lang w:bidi="ar"/>
        </w:rPr>
        <w:t xml:space="preserve"> CCD </w:t>
      </w:r>
      <w:r>
        <w:rPr>
          <w:rFonts w:hint="eastAsia" w:cs="宋体"/>
          <w:lang w:bidi="ar"/>
        </w:rPr>
        <w:t>实验及平台仿真结果进行交叉比较。</w:t>
      </w:r>
    </w:p>
    <w:p w14:paraId="420EE045">
      <w:pPr>
        <w:pStyle w:val="4"/>
        <w:widowControl/>
        <w:spacing w:before="156" w:after="156"/>
      </w:pPr>
      <w:bookmarkStart w:id="53" w:name="_Toc26416"/>
      <w:r>
        <w:t xml:space="preserve">6.3.2 </w:t>
      </w:r>
      <w:r>
        <w:rPr>
          <w:rFonts w:hint="eastAsia" w:cs="黑体"/>
        </w:rPr>
        <w:t>实验过程与结果</w:t>
      </w:r>
      <w:bookmarkEnd w:id="53"/>
    </w:p>
    <w:p w14:paraId="4FBE801F">
      <w:pPr>
        <w:ind w:firstLine="480" w:firstLineChars="200"/>
      </w:pPr>
      <w:r>
        <w:rPr>
          <w:rFonts w:hint="eastAsia" w:cs="宋体"/>
          <w:lang w:bidi="ar"/>
        </w:rPr>
        <w:t>实验光路与实验一保持一致，仅将</w:t>
      </w:r>
      <w:r>
        <w:rPr>
          <w:rFonts w:cs="Times New Roman"/>
          <w:lang w:bidi="ar"/>
        </w:rPr>
        <w:t xml:space="preserve"> CCD </w:t>
      </w:r>
      <w:r>
        <w:rPr>
          <w:rFonts w:hint="eastAsia" w:cs="宋体"/>
          <w:lang w:bidi="ar"/>
        </w:rPr>
        <w:t>替换为光斑分析仪。</w:t>
      </w:r>
    </w:p>
    <w:p w14:paraId="4AEAF385">
      <w:pPr>
        <w:pStyle w:val="14"/>
        <w:spacing w:beforeAutospacing="0" w:after="120" w:afterAutospacing="0" w:line="480" w:lineRule="auto"/>
        <w:ind w:left="480"/>
        <w:rPr>
          <w:rFonts w:hint="eastAsia"/>
        </w:rPr>
      </w:pPr>
      <w:r>
        <w:rPr>
          <w:rFonts w:hint="eastAsia" w:cs="宋体"/>
          <w:color w:val="000000"/>
          <w:kern w:val="2"/>
          <w:lang w:bidi="ar"/>
        </w:rPr>
        <w:t>具体的实验数据如图表</w:t>
      </w:r>
      <w:r>
        <w:rPr>
          <w:color w:val="000000"/>
          <w:kern w:val="2"/>
          <w:lang w:bidi="ar"/>
        </w:rPr>
        <w:t>6-1</w:t>
      </w:r>
      <w:r>
        <w:rPr>
          <w:rFonts w:hint="eastAsia" w:cs="宋体"/>
          <w:color w:val="000000"/>
          <w:kern w:val="2"/>
          <w:lang w:bidi="ar"/>
        </w:rPr>
        <w:t>所示。</w:t>
      </w:r>
    </w:p>
    <w:p w14:paraId="328D22B6">
      <w:pPr>
        <w:ind w:firstLine="480" w:firstLineChars="200"/>
      </w:pPr>
      <w:r>
        <w:rPr>
          <w:rFonts w:hint="eastAsia" w:cs="宋体"/>
          <w:lang w:bidi="ar"/>
        </w:rPr>
        <w:t>光斑分析仪直接输出光束宽度、峰值位置和强度中心等参数，避免</w:t>
      </w:r>
      <w:r>
        <w:rPr>
          <w:rFonts w:cs="Times New Roman"/>
          <w:lang w:bidi="ar"/>
        </w:rPr>
        <w:t xml:space="preserve"> CCD </w:t>
      </w:r>
      <w:r>
        <w:rPr>
          <w:rFonts w:hint="eastAsia" w:cs="宋体"/>
          <w:lang w:bidi="ar"/>
        </w:rPr>
        <w:t>像素饱和及衰减片引入的部分误差。光斑形态如图</w:t>
      </w:r>
      <w:r>
        <w:rPr>
          <w:rFonts w:cs="Times New Roman"/>
          <w:lang w:bidi="ar"/>
        </w:rPr>
        <w:t>n</w:t>
      </w:r>
      <w:r>
        <w:rPr>
          <w:rFonts w:hint="eastAsia" w:cs="宋体"/>
          <w:lang w:bidi="ar"/>
        </w:rPr>
        <w:t>、图</w:t>
      </w:r>
      <w:r>
        <w:rPr>
          <w:rFonts w:cs="Times New Roman"/>
          <w:lang w:bidi="ar"/>
        </w:rPr>
        <w:t>n+1</w:t>
      </w:r>
      <w:r>
        <w:rPr>
          <w:rFonts w:hint="eastAsia" w:cs="宋体"/>
          <w:lang w:bidi="ar"/>
        </w:rPr>
        <w:t>、图</w:t>
      </w:r>
      <w:r>
        <w:rPr>
          <w:rFonts w:cs="Times New Roman"/>
          <w:lang w:bidi="ar"/>
        </w:rPr>
        <w:t>n+2</w:t>
      </w:r>
      <w:r>
        <w:rPr>
          <w:rFonts w:hint="eastAsia" w:cs="宋体"/>
          <w:lang w:bidi="ar"/>
        </w:rPr>
        <w:t>所示，实验、</w:t>
      </w:r>
      <w:r>
        <w:rPr>
          <w:rFonts w:cs="Times New Roman"/>
          <w:lang w:bidi="ar"/>
        </w:rPr>
        <w:t>Zemax</w:t>
      </w:r>
      <w:r>
        <w:rPr>
          <w:rFonts w:hint="eastAsia" w:cs="宋体"/>
          <w:lang w:bidi="ar"/>
        </w:rPr>
        <w:t>和平台光束宽度结果如图</w:t>
      </w:r>
      <w:r>
        <w:rPr>
          <w:rFonts w:cs="Times New Roman"/>
          <w:lang w:bidi="ar"/>
        </w:rPr>
        <w:t>n+3</w:t>
      </w:r>
      <w:r>
        <w:rPr>
          <w:rFonts w:hint="eastAsia" w:cs="宋体"/>
          <w:lang w:bidi="ar"/>
        </w:rPr>
        <w:t>所示。测量结果显示，光斑形态和尺寸变化与实验结果基本一致，并与平台仿真趋势吻合。</w:t>
      </w:r>
    </w:p>
    <w:p w14:paraId="6B798172">
      <w:pPr>
        <w:pStyle w:val="14"/>
        <w:spacing w:beforeAutospacing="0" w:after="120" w:afterAutospacing="0" w:line="480" w:lineRule="auto"/>
        <w:ind w:left="480"/>
      </w:pPr>
      <w:r>
        <w:rPr>
          <w:color w:val="000000"/>
          <w:kern w:val="2"/>
          <w:lang w:bidi="ar"/>
        </w:rPr>
        <w:drawing>
          <wp:inline distT="0" distB="0" distL="114300" distR="114300">
            <wp:extent cx="5934075" cy="3181350"/>
            <wp:effectExtent l="0" t="0" r="9525" b="0"/>
            <wp:docPr id="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1"/>
                    <pic:cNvPicPr>
                      <a:picLocks noChangeAspect="1"/>
                    </pic:cNvPicPr>
                  </pic:nvPicPr>
                  <pic:blipFill>
                    <a:blip r:embed="rId101"/>
                    <a:stretch>
                      <a:fillRect/>
                    </a:stretch>
                  </pic:blipFill>
                  <pic:spPr>
                    <a:xfrm>
                      <a:off x="0" y="0"/>
                      <a:ext cx="5934075" cy="3181350"/>
                    </a:xfrm>
                    <a:prstGeom prst="rect">
                      <a:avLst/>
                    </a:prstGeom>
                    <a:noFill/>
                    <a:ln>
                      <a:noFill/>
                    </a:ln>
                  </pic:spPr>
                </pic:pic>
              </a:graphicData>
            </a:graphic>
          </wp:inline>
        </w:drawing>
      </w:r>
    </w:p>
    <w:p w14:paraId="2F67F0BF">
      <w:pPr>
        <w:pStyle w:val="14"/>
        <w:spacing w:beforeAutospacing="0" w:after="120" w:afterAutospacing="0" w:line="480" w:lineRule="auto"/>
        <w:ind w:left="480"/>
      </w:pPr>
      <w:r>
        <w:rPr>
          <w:rFonts w:hint="eastAsia" w:cs="宋体"/>
          <w:color w:val="000000"/>
          <w:kern w:val="2"/>
          <w:lang w:bidi="ar"/>
        </w:rPr>
        <w:t>图</w:t>
      </w:r>
      <w:r>
        <w:rPr>
          <w:color w:val="000000"/>
          <w:kern w:val="2"/>
          <w:lang w:bidi="ar"/>
        </w:rPr>
        <w:t xml:space="preserve">n </w:t>
      </w:r>
      <w:r>
        <w:rPr>
          <w:rFonts w:hint="eastAsia" w:cs="宋体"/>
          <w:color w:val="000000"/>
          <w:kern w:val="2"/>
          <w:lang w:bidi="ar"/>
        </w:rPr>
        <w:t>光斑分析仪光斑结果图</w:t>
      </w:r>
    </w:p>
    <w:p w14:paraId="418B8C74">
      <w:pPr>
        <w:pStyle w:val="14"/>
        <w:spacing w:beforeAutospacing="0" w:after="120" w:afterAutospacing="0" w:line="480" w:lineRule="auto"/>
        <w:ind w:left="480"/>
      </w:pPr>
      <w:r>
        <w:rPr>
          <w:color w:val="000000"/>
          <w:kern w:val="2"/>
          <w:lang w:bidi="ar"/>
        </w:rPr>
        <w:drawing>
          <wp:inline distT="0" distB="0" distL="114300" distR="114300">
            <wp:extent cx="2686050" cy="2372995"/>
            <wp:effectExtent l="0" t="0" r="0" b="8255"/>
            <wp:docPr id="1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2"/>
                    <pic:cNvPicPr>
                      <a:picLocks noChangeAspect="1"/>
                    </pic:cNvPicPr>
                  </pic:nvPicPr>
                  <pic:blipFill>
                    <a:blip r:embed="rId102"/>
                    <a:stretch>
                      <a:fillRect/>
                    </a:stretch>
                  </pic:blipFill>
                  <pic:spPr>
                    <a:xfrm>
                      <a:off x="0" y="0"/>
                      <a:ext cx="2689080" cy="2376023"/>
                    </a:xfrm>
                    <a:prstGeom prst="rect">
                      <a:avLst/>
                    </a:prstGeom>
                    <a:noFill/>
                    <a:ln>
                      <a:noFill/>
                    </a:ln>
                  </pic:spPr>
                </pic:pic>
              </a:graphicData>
            </a:graphic>
          </wp:inline>
        </w:drawing>
      </w:r>
    </w:p>
    <w:p w14:paraId="21981968">
      <w:pPr>
        <w:pStyle w:val="14"/>
        <w:spacing w:beforeAutospacing="0" w:after="120" w:afterAutospacing="0" w:line="480" w:lineRule="auto"/>
        <w:ind w:left="480"/>
      </w:pPr>
      <w:r>
        <w:rPr>
          <w:rFonts w:hint="eastAsia" w:cs="宋体"/>
          <w:color w:val="000000"/>
          <w:kern w:val="2"/>
          <w:lang w:bidi="ar"/>
        </w:rPr>
        <w:t>图</w:t>
      </w:r>
      <w:r>
        <w:rPr>
          <w:color w:val="000000"/>
          <w:kern w:val="2"/>
          <w:lang w:bidi="ar"/>
        </w:rPr>
        <w:t>n+1 Zemax</w:t>
      </w:r>
      <w:r>
        <w:rPr>
          <w:rFonts w:hint="eastAsia" w:cs="宋体"/>
          <w:color w:val="000000"/>
          <w:kern w:val="2"/>
          <w:lang w:bidi="ar"/>
        </w:rPr>
        <w:t>模拟光斑</w:t>
      </w:r>
    </w:p>
    <w:p w14:paraId="63136765">
      <w:pPr>
        <w:pStyle w:val="14"/>
        <w:spacing w:beforeAutospacing="0" w:after="120" w:afterAutospacing="0" w:line="480" w:lineRule="auto"/>
        <w:ind w:left="480"/>
      </w:pPr>
      <w:r>
        <w:rPr>
          <w:color w:val="000000"/>
          <w:kern w:val="2"/>
          <w:lang w:bidi="ar"/>
        </w:rPr>
        <w:drawing>
          <wp:inline distT="0" distB="0" distL="114300" distR="114300">
            <wp:extent cx="3533775" cy="3250565"/>
            <wp:effectExtent l="0" t="0" r="0" b="698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03"/>
                    <a:stretch>
                      <a:fillRect/>
                    </a:stretch>
                  </pic:blipFill>
                  <pic:spPr>
                    <a:xfrm>
                      <a:off x="0" y="0"/>
                      <a:ext cx="3536573" cy="3253194"/>
                    </a:xfrm>
                    <a:prstGeom prst="rect">
                      <a:avLst/>
                    </a:prstGeom>
                    <a:noFill/>
                    <a:ln>
                      <a:noFill/>
                    </a:ln>
                  </pic:spPr>
                </pic:pic>
              </a:graphicData>
            </a:graphic>
          </wp:inline>
        </w:drawing>
      </w:r>
    </w:p>
    <w:p w14:paraId="7A728BDE">
      <w:pPr>
        <w:pStyle w:val="14"/>
        <w:spacing w:beforeAutospacing="0" w:after="120" w:afterAutospacing="0" w:line="480" w:lineRule="auto"/>
        <w:ind w:left="480"/>
      </w:pPr>
      <w:r>
        <w:rPr>
          <w:rFonts w:hint="eastAsia" w:cs="宋体"/>
          <w:color w:val="000000"/>
          <w:kern w:val="2"/>
          <w:lang w:bidi="ar"/>
        </w:rPr>
        <w:t>图</w:t>
      </w:r>
      <w:r>
        <w:rPr>
          <w:color w:val="000000"/>
          <w:kern w:val="2"/>
          <w:lang w:bidi="ar"/>
        </w:rPr>
        <w:t xml:space="preserve">n+2 </w:t>
      </w:r>
      <w:r>
        <w:rPr>
          <w:rFonts w:hint="eastAsia" w:cs="宋体"/>
          <w:color w:val="000000"/>
          <w:kern w:val="2"/>
          <w:lang w:bidi="ar"/>
        </w:rPr>
        <w:t>平台模拟光斑</w:t>
      </w:r>
    </w:p>
    <w:p w14:paraId="176CBF5C">
      <w:pPr>
        <w:pStyle w:val="14"/>
        <w:spacing w:beforeAutospacing="0" w:after="120" w:afterAutospacing="0" w:line="480" w:lineRule="auto"/>
        <w:ind w:left="480"/>
      </w:pPr>
      <w:r>
        <w:rPr>
          <w:color w:val="000000"/>
          <w:kern w:val="2"/>
          <w:lang w:bidi="ar"/>
        </w:rPr>
        <w:drawing>
          <wp:inline distT="0" distB="0" distL="114300" distR="114300">
            <wp:extent cx="5524500" cy="3780155"/>
            <wp:effectExtent l="0" t="0" r="0" b="0"/>
            <wp:docPr id="1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9"/>
                    <pic:cNvPicPr>
                      <a:picLocks noChangeAspect="1"/>
                    </pic:cNvPicPr>
                  </pic:nvPicPr>
                  <pic:blipFill>
                    <a:blip r:embed="rId104"/>
                    <a:stretch>
                      <a:fillRect/>
                    </a:stretch>
                  </pic:blipFill>
                  <pic:spPr>
                    <a:xfrm>
                      <a:off x="0" y="0"/>
                      <a:ext cx="5539867" cy="3790903"/>
                    </a:xfrm>
                    <a:prstGeom prst="rect">
                      <a:avLst/>
                    </a:prstGeom>
                    <a:noFill/>
                    <a:ln>
                      <a:noFill/>
                    </a:ln>
                  </pic:spPr>
                </pic:pic>
              </a:graphicData>
            </a:graphic>
          </wp:inline>
        </w:drawing>
      </w:r>
    </w:p>
    <w:p w14:paraId="41F5DBB4">
      <w:pPr>
        <w:pStyle w:val="14"/>
        <w:spacing w:beforeAutospacing="0" w:after="120" w:afterAutospacing="0" w:line="480" w:lineRule="auto"/>
        <w:ind w:left="480"/>
        <w:rPr>
          <w:rFonts w:cs="宋体"/>
          <w:color w:val="000000"/>
          <w:kern w:val="2"/>
          <w:lang w:bidi="ar"/>
        </w:rPr>
      </w:pPr>
      <w:r>
        <w:rPr>
          <w:rFonts w:hint="eastAsia" w:cs="宋体"/>
          <w:color w:val="000000"/>
          <w:kern w:val="2"/>
          <w:lang w:bidi="ar"/>
        </w:rPr>
        <w:t>图</w:t>
      </w:r>
      <w:r>
        <w:rPr>
          <w:color w:val="000000"/>
          <w:kern w:val="2"/>
          <w:lang w:bidi="ar"/>
        </w:rPr>
        <w:t xml:space="preserve">n+3 </w:t>
      </w:r>
      <w:r>
        <w:rPr>
          <w:rFonts w:hint="eastAsia" w:cs="宋体"/>
          <w:color w:val="000000"/>
          <w:kern w:val="2"/>
          <w:lang w:bidi="ar"/>
        </w:rPr>
        <w:t>不同透镜组下光斑尺寸对比图</w:t>
      </w:r>
    </w:p>
    <w:p w14:paraId="0FFA5379">
      <w:pPr>
        <w:pStyle w:val="4"/>
        <w:widowControl/>
        <w:spacing w:before="156" w:after="156"/>
      </w:pPr>
      <w:bookmarkStart w:id="54" w:name="_Toc12945"/>
      <w:r>
        <w:t>6.</w:t>
      </w:r>
      <w:r>
        <w:rPr>
          <w:rFonts w:hint="eastAsia"/>
        </w:rPr>
        <w:t>4</w:t>
      </w:r>
      <w:r>
        <w:t xml:space="preserve"> </w:t>
      </w:r>
      <w:r>
        <w:rPr>
          <w:rFonts w:hint="eastAsia" w:cs="黑体"/>
        </w:rPr>
        <w:t>实验误差分析</w:t>
      </w:r>
      <w:bookmarkEnd w:id="54"/>
    </w:p>
    <w:p w14:paraId="1160FC96">
      <w:pPr>
        <w:ind w:firstLine="480" w:firstLineChars="200"/>
      </w:pPr>
      <w:r>
        <w:rPr>
          <w:rFonts w:hint="eastAsia" w:cs="宋体"/>
          <w:lang w:bidi="ar"/>
        </w:rPr>
        <w:t>平台与实验之间的差异主要来自机械对准误差、图像处理误差和环境影响。机械对准误差包括位移台精度、透镜安装倾斜和光纤端面位置偏差；图像处理误差包括</w:t>
      </w:r>
      <w:r>
        <w:rPr>
          <w:rFonts w:cs="Times New Roman"/>
          <w:lang w:bidi="ar"/>
        </w:rPr>
        <w:t xml:space="preserve"> CCD </w:t>
      </w:r>
      <w:r>
        <w:rPr>
          <w:rFonts w:hint="eastAsia" w:cs="宋体"/>
          <w:lang w:bidi="ar"/>
        </w:rPr>
        <w:t>背景噪声、灰度非线性、像素饱和以及质心计算截断；环境影响包括激光功率波动、温度漂移和空气扰动。上述因素会使实验结果与理想仿真存在差异，因此实验结果主要用于验证平台计算趋势和数量级的合理性。</w:t>
      </w:r>
    </w:p>
    <w:p w14:paraId="50C6BFBD">
      <w:pPr>
        <w:ind w:firstLine="480" w:firstLineChars="200"/>
        <w:rPr>
          <w:rFonts w:cs="宋体"/>
          <w:lang w:bidi="ar"/>
        </w:rPr>
      </w:pPr>
      <w:r>
        <w:rPr>
          <w:rFonts w:hint="eastAsia" w:cs="宋体"/>
          <w:lang w:bidi="ar"/>
        </w:rPr>
        <w:t>综合三组实验，平台能够较好地复现单透镜光斑尺寸变化和光纤轴向失配下的耦合效率变化趋势；与</w:t>
      </w:r>
      <w:r>
        <w:rPr>
          <w:rFonts w:cs="Times New Roman"/>
          <w:lang w:bidi="ar"/>
        </w:rPr>
        <w:t xml:space="preserve"> Zemax </w:t>
      </w:r>
      <w:r>
        <w:rPr>
          <w:rFonts w:hint="eastAsia" w:cs="宋体"/>
          <w:lang w:bidi="ar"/>
        </w:rPr>
        <w:t>的互验结果进一步说明平台物理计算链路具有可比性。需要强调的是，曲率半径和厚度的参数规律仍主要由</w:t>
      </w:r>
      <w:r>
        <w:rPr>
          <w:rFonts w:cs="Times New Roman"/>
          <w:lang w:bidi="ar"/>
        </w:rPr>
        <w:t xml:space="preserve"> ABCD/q </w:t>
      </w:r>
      <w:r>
        <w:rPr>
          <w:rFonts w:hint="eastAsia" w:cs="宋体"/>
          <w:lang w:bidi="ar"/>
        </w:rPr>
        <w:t>理论、正式仿真、参数扫描和机器学习分析获得，实验部分承担的是对基础光学仿真和耦合效率计算链路的独立验证。</w:t>
      </w:r>
    </w:p>
    <w:p w14:paraId="7D83E0CF">
      <w:pPr>
        <w:pStyle w:val="3"/>
        <w:spacing w:before="249" w:after="249"/>
        <w:rPr>
          <w:lang w:bidi="ar"/>
        </w:rPr>
      </w:pPr>
      <w:r>
        <w:rPr>
          <w:rFonts w:hint="eastAsia"/>
          <w:lang w:bidi="ar"/>
        </w:rPr>
        <w:t>6.5 仿真对比</w:t>
      </w:r>
    </w:p>
    <w:p w14:paraId="4803CD12">
      <w:pPr>
        <w:pStyle w:val="4"/>
        <w:spacing w:before="156" w:after="156"/>
        <w:rPr>
          <w:lang w:bidi="ar"/>
        </w:rPr>
      </w:pPr>
      <w:r>
        <w:rPr>
          <w:rFonts w:hint="eastAsia"/>
          <w:lang w:bidi="ar"/>
        </w:rPr>
        <w:t>6.5.1 平台仿真结果</w:t>
      </w:r>
    </w:p>
    <w:p w14:paraId="67A680D1">
      <w:pPr>
        <w:rPr>
          <w:rFonts w:hint="eastAsia"/>
          <w:lang w:bidi="ar"/>
        </w:rPr>
      </w:pPr>
    </w:p>
    <w:p w14:paraId="399AA51C">
      <w:pPr>
        <w:rPr>
          <w:lang w:bidi="ar"/>
        </w:rPr>
      </w:pPr>
      <w:r>
        <w:rPr>
          <w:lang w:bidi="ar"/>
        </w:rPr>
        <w:t>波长：780 nm</w:t>
      </w:r>
    </w:p>
    <w:p w14:paraId="7CBD08D9">
      <w:pPr>
        <w:rPr>
          <w:lang w:bidi="ar"/>
        </w:rPr>
      </w:pPr>
      <w:r>
        <w:rPr>
          <w:lang w:bidi="ar"/>
        </w:rPr>
        <w:t>  束腰半径：X = 706.9 μm，Y = 883.8 μm</w:t>
      </w:r>
    </w:p>
    <w:p w14:paraId="7B095953">
      <w:pPr>
        <w:rPr>
          <w:lang w:bidi="ar"/>
        </w:rPr>
      </w:pPr>
      <w:r>
        <w:rPr>
          <w:lang w:bidi="ar"/>
        </w:rPr>
        <w:t>  束腰位置：X = −966.8 mm，Y = −542.4 mm</w:t>
      </w:r>
    </w:p>
    <w:p w14:paraId="30B4C5F5">
      <w:pPr>
        <w:rPr>
          <w:lang w:bidi="ar"/>
        </w:rPr>
      </w:pPr>
      <w:r>
        <w:rPr>
          <w:lang w:bidi="ar"/>
        </w:rPr>
        <w:t>  光束质量：M²ₓ = 1.055，M²ᵧ = 1.562</w:t>
      </w:r>
    </w:p>
    <w:p w14:paraId="221B04C6">
      <w:pPr>
        <w:rPr>
          <w:lang w:bidi="ar"/>
        </w:rPr>
      </w:pPr>
      <w:r>
        <w:rPr>
          <w:lang w:bidi="ar"/>
        </w:rPr>
        <w:t>  发散半角对应 NA：X = 0.0003705，Y = 0.0004388</w:t>
      </w:r>
    </w:p>
    <w:p w14:paraId="47546ACC">
      <w:pPr>
        <w:rPr>
          <w:lang w:bidi="ar"/>
        </w:rPr>
      </w:pPr>
      <w:r>
        <w:rPr>
          <w:lang w:bidi="ar"/>
        </w:rPr>
        <w:t>  光纤采用 PM780-HP 类工程参数：模场直径约 5.3 μm、NA = 0.12、芯径约 4.5 μm。厂家资料给出的 PM780-HP NA 为 0.12，模场直径约为 5.3 μm</w:t>
      </w:r>
    </w:p>
    <w:p w14:paraId="606EA03D">
      <w:pPr>
        <w:rPr>
          <w:lang w:bidi="ar"/>
        </w:rPr>
      </w:pPr>
      <w:r>
        <w:rPr>
          <w:rFonts w:hint="eastAsia"/>
          <w:lang w:bidi="ar"/>
        </w:rPr>
        <w:t>改变四透镜的每个面前表面曲率半径和透镜厚度，分别使用Zemax与平台进行仿真，所得结果如图n所示。</w:t>
      </w:r>
    </w:p>
    <w:p w14:paraId="43E67F34">
      <w:pPr>
        <w:rPr>
          <w:lang w:bidi="ar"/>
        </w:rPr>
      </w:pPr>
      <w:r>
        <w:drawing>
          <wp:inline distT="0" distB="0" distL="0" distR="0">
            <wp:extent cx="4743450" cy="4784090"/>
            <wp:effectExtent l="0" t="0" r="0" b="0"/>
            <wp:docPr id="2003904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04049" name="图片 1"/>
                    <pic:cNvPicPr>
                      <a:picLocks noChangeAspect="1"/>
                    </pic:cNvPicPr>
                  </pic:nvPicPr>
                  <pic:blipFill>
                    <a:blip r:embed="rId105"/>
                    <a:stretch>
                      <a:fillRect/>
                    </a:stretch>
                  </pic:blipFill>
                  <pic:spPr>
                    <a:xfrm>
                      <a:off x="0" y="0"/>
                      <a:ext cx="4745277" cy="4786364"/>
                    </a:xfrm>
                    <a:prstGeom prst="rect">
                      <a:avLst/>
                    </a:prstGeom>
                  </pic:spPr>
                </pic:pic>
              </a:graphicData>
            </a:graphic>
          </wp:inline>
        </w:drawing>
      </w:r>
    </w:p>
    <w:p w14:paraId="4DF8E3F4">
      <w:pPr>
        <w:rPr>
          <w:rFonts w:hint="eastAsia"/>
          <w:lang w:bidi="ar"/>
        </w:rPr>
      </w:pPr>
      <w:r>
        <w:rPr>
          <w:rFonts w:hint="eastAsia"/>
          <w:lang w:bidi="ar"/>
        </w:rPr>
        <w:t>图n 平台-Zemax对比图</w:t>
      </w:r>
    </w:p>
    <w:p w14:paraId="73B686CE">
      <w:pPr>
        <w:pStyle w:val="2"/>
        <w:spacing w:before="312" w:after="312"/>
      </w:pPr>
      <w:r>
        <w:rPr>
          <w:rFonts w:hint="eastAsia"/>
        </w:rPr>
        <w:br w:type="page"/>
      </w:r>
      <w:bookmarkStart w:id="55" w:name="_Toc14112"/>
      <w:r>
        <w:rPr>
          <w:rFonts w:hint="eastAsia"/>
        </w:rPr>
        <w:t>7总结及展望</w:t>
      </w:r>
      <w:bookmarkEnd w:id="55"/>
    </w:p>
    <w:p w14:paraId="3C5E822D">
      <w:pPr>
        <w:pStyle w:val="3"/>
        <w:spacing w:before="249" w:after="249"/>
      </w:pPr>
      <w:bookmarkStart w:id="56" w:name="_Toc32456"/>
      <w:r>
        <w:t>7.1 仿真平台的优势</w:t>
      </w:r>
      <w:bookmarkEnd w:id="56"/>
    </w:p>
    <w:p w14:paraId="10B4BD36">
      <w:pPr>
        <w:ind w:firstLine="480" w:firstLineChars="200"/>
      </w:pPr>
      <w:r>
        <w:t>本平台建立了从几何光路到波动复场、从模式重叠到系统效率的统一计算链。Gaussian/ABCD 模型提供快速解析估计，顺序光线追迹描述真实通光路径和光程，公共出射面复场重建实现几何光学与波动光学的衔接，角谱或 Fresnel 传播进一步获得光纤端面的入射场。</w:t>
      </w:r>
    </w:p>
    <w:p w14:paraId="00CB7153">
      <w:pPr>
        <w:ind w:firstLine="480" w:firstLineChars="200"/>
      </w:pPr>
      <w:r>
        <w:t>平台将固定结构和可变结构区分建模，并把机器学习放在物理仿真之后。随机森林/XGBoost 适合连续参数代理，BiLSTM 适合光学元件序列表示；贝叶斯优化、差分进化和 Powell 分别承担全局探索与局部精调，硬约束保证候选方案具有工程可行性。</w:t>
      </w:r>
    </w:p>
    <w:p w14:paraId="17C7332E">
      <w:pPr>
        <w:ind w:firstLine="480" w:firstLineChars="200"/>
      </w:pPr>
      <w:r>
        <w:t>平台还将 SHAP 解释与光学公式、单变量扫描和正式复算结合起来，使参数重要性能够回到尺寸失配、位置偏移、角度倾斜、轴向离焦和曲率失配等物理因素。研究者不仅可以得到“效率是多少”，还可以进一步判断“主要受什么影响、应从哪里调整”。</w:t>
      </w:r>
    </w:p>
    <w:p w14:paraId="25E26505">
      <w:pPr>
        <w:pStyle w:val="3"/>
        <w:spacing w:before="249" w:after="249"/>
      </w:pPr>
      <w:bookmarkStart w:id="57" w:name="_Toc20277"/>
      <w:r>
        <w:t>7.</w:t>
      </w:r>
      <w:r>
        <w:rPr>
          <w:rFonts w:hint="eastAsia"/>
        </w:rPr>
        <w:t>2</w:t>
      </w:r>
      <w:r>
        <w:t xml:space="preserve"> 展望</w:t>
      </w:r>
      <w:bookmarkEnd w:id="57"/>
    </w:p>
    <w:p w14:paraId="794A4854">
      <w:pPr>
        <w:ind w:firstLine="480" w:firstLineChars="200"/>
        <w:rPr>
          <w:rFonts w:ascii="宋体" w:hAnsi="宋体"/>
          <w:color w:val="000000"/>
        </w:rPr>
      </w:pPr>
      <w:r>
        <w:rPr>
          <w:rFonts w:ascii="宋体" w:hAnsi="宋体"/>
          <w:color w:val="000000"/>
        </w:rPr>
        <w:t>未来将进一步完善“可视化建模—正式仿真—数据生成—代理模型—解释优化—独立复核”的研究工作台，使平台能够支持更多光源、透镜面型和光纤类型。教学方面，将围绕光路搭建、模场失配、参数敏感性和虚拟装调建设可重复的案例库；工程方面，将加强约束优化、容差分析和稳健性评价，使输出结果从单一最优值扩展为满足制造和装调要求的可行方案集合。</w:t>
      </w:r>
    </w:p>
    <w:p w14:paraId="5828F892">
      <w:pPr>
        <w:ind w:firstLine="480" w:firstLineChars="200"/>
        <w:rPr>
          <w:rFonts w:hint="eastAsia"/>
        </w:rPr>
      </w:pPr>
      <w:r>
        <w:t>后续可从三个方面改进：增加容差传播和鲁棒优化，研究制造误差与装调误差的联合影响；扩充多波长、柱面镜、复杂光纤模式和材料数据库；积累规范化实验数据，用于独立比较和边界条件验证，而不将实验数据简单回代为模型校准结论。</w:t>
      </w:r>
    </w:p>
    <w:p w14:paraId="31C5C4B7">
      <w:pPr>
        <w:ind w:firstLine="480" w:firstLineChars="200"/>
      </w:pPr>
      <w:r>
        <w:t>在研究可信度方面，平台将继续区分解析模型、正式物理仿真、代理模型预测和实验对比四类证据，分别记录其适用条件和不确定性。通过统一的任务追溯和版本管理，逐步形成可复现、可解释、可扩展的激光耦合仿真与智能优化平台。</w:t>
      </w:r>
    </w:p>
    <w:p w14:paraId="0B18603F">
      <w:pPr>
        <w:ind w:firstLine="480" w:firstLineChars="200"/>
      </w:pPr>
      <w:r>
        <w:rPr>
          <w:rFonts w:hint="eastAsia"/>
        </w:rPr>
        <w:br w:type="page"/>
      </w:r>
    </w:p>
    <w:p w14:paraId="41311A77">
      <w:pPr>
        <w:ind w:firstLine="480" w:firstLineChars="200"/>
      </w:pPr>
    </w:p>
    <w:p w14:paraId="13D12F4F">
      <w:pPr>
        <w:pStyle w:val="2"/>
        <w:spacing w:before="312" w:after="312"/>
      </w:pPr>
      <w:bookmarkStart w:id="58" w:name="_Toc18350"/>
      <w:r>
        <w:rPr>
          <w:rFonts w:hint="eastAsia"/>
        </w:rPr>
        <w:t>8团队成员贡献</w:t>
      </w:r>
      <w:bookmarkEnd w:id="58"/>
    </w:p>
    <w:p w14:paraId="5B10A8A3">
      <w:pPr>
        <w:ind w:firstLine="480" w:firstLineChars="200"/>
      </w:pPr>
      <w:r>
        <w:t>团队分工围绕理论建模、软件架构、机器学习、界面交互和材料汇报展开。各成员既承担相对独立的模块，也通过统一的工程参数、任务接口和结果复核机制协同完成项目。具体分工见表 8-1。</w:t>
      </w:r>
    </w:p>
    <w:p w14:paraId="2922653C">
      <w:pPr>
        <w:ind w:firstLine="420" w:firstLineChars="200"/>
        <w:jc w:val="center"/>
        <w:rPr>
          <w:rFonts w:hint="eastAsia" w:ascii="宋体" w:hAnsi="宋体" w:cs="宋体"/>
          <w:sz w:val="21"/>
          <w:szCs w:val="21"/>
        </w:rPr>
      </w:pPr>
      <w:r>
        <w:rPr>
          <w:rFonts w:hint="eastAsia" w:ascii="宋体" w:hAnsi="宋体" w:cs="宋体"/>
          <w:color w:val="000000"/>
          <w:sz w:val="21"/>
          <w:szCs w:val="21"/>
        </w:rPr>
        <w:t>表8-1成员分工</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8"/>
        <w:gridCol w:w="6777"/>
      </w:tblGrid>
      <w:tr w14:paraId="12627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single" w:color="auto" w:sz="12" w:space="0"/>
              <w:left w:val="nil"/>
              <w:bottom w:val="single" w:color="auto" w:sz="6" w:space="0"/>
              <w:right w:val="nil"/>
            </w:tcBorders>
          </w:tcPr>
          <w:p w14:paraId="2792777B">
            <w:pPr>
              <w:ind w:firstLine="480" w:firstLineChars="200"/>
            </w:pPr>
            <w:r>
              <w:t>成员名</w:t>
            </w:r>
          </w:p>
        </w:tc>
        <w:tc>
          <w:tcPr>
            <w:tcW w:w="6777" w:type="dxa"/>
            <w:tcBorders>
              <w:top w:val="single" w:color="auto" w:sz="12" w:space="0"/>
              <w:left w:val="nil"/>
              <w:bottom w:val="single" w:color="auto" w:sz="6" w:space="0"/>
              <w:right w:val="nil"/>
            </w:tcBorders>
          </w:tcPr>
          <w:p w14:paraId="38FE6481">
            <w:pPr>
              <w:ind w:firstLine="480" w:firstLineChars="200"/>
              <w:jc w:val="center"/>
            </w:pPr>
            <w:r>
              <w:t>成员分工</w:t>
            </w:r>
          </w:p>
        </w:tc>
      </w:tr>
      <w:tr w14:paraId="1AAC4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single" w:color="auto" w:sz="6" w:space="0"/>
              <w:left w:val="nil"/>
              <w:bottom w:val="nil"/>
              <w:right w:val="nil"/>
            </w:tcBorders>
          </w:tcPr>
          <w:p w14:paraId="65DE8059">
            <w:pPr>
              <w:ind w:firstLine="480" w:firstLineChars="200"/>
            </w:pPr>
            <w:r>
              <w:t>队长</w:t>
            </w:r>
          </w:p>
        </w:tc>
        <w:tc>
          <w:tcPr>
            <w:tcW w:w="6777" w:type="dxa"/>
            <w:tcBorders>
              <w:top w:val="single" w:color="auto" w:sz="6" w:space="0"/>
              <w:left w:val="nil"/>
              <w:bottom w:val="nil"/>
              <w:right w:val="nil"/>
            </w:tcBorders>
          </w:tcPr>
          <w:p w14:paraId="23EEC946">
            <w:pPr>
              <w:ind w:firstLine="480" w:firstLineChars="200"/>
            </w:pPr>
            <w:r>
              <w:rPr>
                <w:rFonts w:hint="eastAsia"/>
              </w:rPr>
              <w:t>负责项目统筹、理论研究、实验设计与数据采集，实验仪器建模，以及平台、Zemax和实验结果的综合分析、验证与研究报告内容。</w:t>
            </w:r>
          </w:p>
        </w:tc>
      </w:tr>
      <w:tr w14:paraId="670DA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nil"/>
              <w:right w:val="nil"/>
            </w:tcBorders>
          </w:tcPr>
          <w:p w14:paraId="5F45ECCB">
            <w:pPr>
              <w:ind w:firstLine="480" w:firstLineChars="200"/>
            </w:pPr>
            <w:r>
              <w:t>队员一</w:t>
            </w:r>
          </w:p>
        </w:tc>
        <w:tc>
          <w:tcPr>
            <w:tcW w:w="6777" w:type="dxa"/>
            <w:tcBorders>
              <w:top w:val="nil"/>
              <w:left w:val="nil"/>
              <w:bottom w:val="nil"/>
              <w:right w:val="nil"/>
            </w:tcBorders>
          </w:tcPr>
          <w:p w14:paraId="189A0064">
            <w:pPr>
              <w:ind w:firstLine="480" w:firstLineChars="200"/>
            </w:pPr>
            <w:r>
              <w:t>负责系统架构、前后端工作流、模块接口、数据管理、任务追溯、软件测试及封装部署。</w:t>
            </w:r>
          </w:p>
        </w:tc>
      </w:tr>
      <w:tr w14:paraId="5065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nil"/>
              <w:right w:val="nil"/>
            </w:tcBorders>
          </w:tcPr>
          <w:p w14:paraId="126EEB66">
            <w:pPr>
              <w:ind w:firstLine="480" w:firstLineChars="200"/>
            </w:pPr>
            <w:r>
              <w:t>队员二</w:t>
            </w:r>
          </w:p>
        </w:tc>
        <w:tc>
          <w:tcPr>
            <w:tcW w:w="6777" w:type="dxa"/>
            <w:tcBorders>
              <w:top w:val="nil"/>
              <w:left w:val="nil"/>
              <w:bottom w:val="nil"/>
              <w:right w:val="nil"/>
            </w:tcBorders>
          </w:tcPr>
          <w:p w14:paraId="44497049">
            <w:pPr>
              <w:ind w:firstLine="480" w:firstLineChars="200"/>
            </w:pPr>
            <w:r>
              <w:t>负责数据集构建、机器学习、智能优化、</w:t>
            </w:r>
            <w:r>
              <w:rPr>
                <w:rFonts w:hint="eastAsia"/>
              </w:rPr>
              <w:t>SHAP</w:t>
            </w:r>
            <w:r>
              <w:t>解释、不确定度分析及智能模型验证。</w:t>
            </w:r>
          </w:p>
        </w:tc>
      </w:tr>
      <w:tr w14:paraId="0514C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nil"/>
              <w:right w:val="nil"/>
            </w:tcBorders>
          </w:tcPr>
          <w:p w14:paraId="60A9665E">
            <w:pPr>
              <w:ind w:firstLine="480" w:firstLineChars="200"/>
            </w:pPr>
            <w:r>
              <w:t>队员三</w:t>
            </w:r>
          </w:p>
        </w:tc>
        <w:tc>
          <w:tcPr>
            <w:tcW w:w="6777" w:type="dxa"/>
            <w:tcBorders>
              <w:top w:val="nil"/>
              <w:left w:val="nil"/>
              <w:bottom w:val="nil"/>
              <w:right w:val="nil"/>
            </w:tcBorders>
          </w:tcPr>
          <w:p w14:paraId="5DC90D6C">
            <w:pPr>
              <w:ind w:firstLine="480" w:firstLineChars="200"/>
            </w:pPr>
            <w:r>
              <w:t>负责前端</w:t>
            </w:r>
            <w:r>
              <w:rPr>
                <w:rFonts w:hint="eastAsia"/>
              </w:rPr>
              <w:t>UI</w:t>
            </w:r>
            <w:r>
              <w:t>与交互设计、前端代码、结果可视化、界面测试及用户体验优化。</w:t>
            </w:r>
          </w:p>
        </w:tc>
      </w:tr>
      <w:tr w14:paraId="5B29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single" w:color="auto" w:sz="12" w:space="0"/>
              <w:right w:val="nil"/>
            </w:tcBorders>
          </w:tcPr>
          <w:p w14:paraId="0993F700">
            <w:pPr>
              <w:ind w:firstLine="480" w:firstLineChars="200"/>
            </w:pPr>
            <w:r>
              <w:t>队员四</w:t>
            </w:r>
          </w:p>
        </w:tc>
        <w:tc>
          <w:tcPr>
            <w:tcW w:w="6777" w:type="dxa"/>
            <w:tcBorders>
              <w:top w:val="nil"/>
              <w:left w:val="nil"/>
              <w:bottom w:val="single" w:color="auto" w:sz="12" w:space="0"/>
              <w:right w:val="nil"/>
            </w:tcBorders>
          </w:tcPr>
          <w:p w14:paraId="0C776351">
            <w:pPr>
              <w:ind w:firstLine="480" w:firstLineChars="200"/>
            </w:pPr>
            <w:r>
              <w:t>负责PPT与图文材料制作、视频录制剪辑、技术文档排版、教学演示及项目答辩汇报。</w:t>
            </w:r>
          </w:p>
        </w:tc>
      </w:tr>
    </w:tbl>
    <w:p w14:paraId="6C34BAF4">
      <w:pPr>
        <w:ind w:firstLine="480" w:firstLineChars="200"/>
      </w:pPr>
      <w:r>
        <w:rPr>
          <w:rFonts w:hint="eastAsia"/>
        </w:rPr>
        <w:br w:type="page"/>
      </w:r>
    </w:p>
    <w:p w14:paraId="3DF505C5"/>
    <w:p w14:paraId="7BEB3C64">
      <w:pPr>
        <w:pStyle w:val="2"/>
        <w:spacing w:before="312" w:after="312"/>
      </w:pPr>
      <w:bookmarkStart w:id="59" w:name="_Toc20470"/>
      <w:r>
        <w:rPr>
          <w:rFonts w:hint="eastAsia"/>
        </w:rPr>
        <w:t>9参考文献</w:t>
      </w:r>
      <w:bookmarkEnd w:id="59"/>
    </w:p>
    <w:p w14:paraId="0A78C2C4">
      <w:pPr>
        <w:spacing w:line="240" w:lineRule="auto"/>
        <w:rPr>
          <w:sz w:val="21"/>
          <w:szCs w:val="21"/>
        </w:rPr>
      </w:pPr>
      <w:r>
        <w:rPr>
          <w:sz w:val="21"/>
          <w:szCs w:val="21"/>
        </w:rPr>
        <w:t>[1] 张丹丹, 黄芷婷, 李君. 半导体激光器与光纤耦合效率仿真分析[J]. 应用光学, 2026, 47(4): 952–960. DOI: 10.5768/JAO202647.0408002.</w:t>
      </w:r>
    </w:p>
    <w:p w14:paraId="55D4852F">
      <w:pPr>
        <w:spacing w:line="240" w:lineRule="auto"/>
        <w:rPr>
          <w:sz w:val="21"/>
          <w:szCs w:val="21"/>
        </w:rPr>
      </w:pPr>
      <w:r>
        <w:rPr>
          <w:sz w:val="21"/>
          <w:szCs w:val="21"/>
        </w:rPr>
        <w:t>[2] 王艺轩, 郭斌, 刁晓飞, 胡晓峰, 罗哉. 高斯光束单模光纤耦合效率影响因素的定量分析[J].计量学报, 2025, 46(9): 1364–1370.</w:t>
      </w:r>
    </w:p>
    <w:p w14:paraId="55064DD0">
      <w:pPr>
        <w:spacing w:line="240" w:lineRule="auto"/>
        <w:rPr>
          <w:sz w:val="21"/>
          <w:szCs w:val="21"/>
        </w:rPr>
      </w:pPr>
      <w:r>
        <w:rPr>
          <w:sz w:val="21"/>
          <w:szCs w:val="21"/>
        </w:rPr>
        <w:t>[3] 陈炫辉, 张士元, 谢向生. 基于角谱的相干光成像中的透镜相位约束[J]. 物理实验, 2026, 46(2): 9–15.</w:t>
      </w:r>
    </w:p>
    <w:p w14:paraId="6DE41A6C">
      <w:pPr>
        <w:spacing w:line="240" w:lineRule="auto"/>
        <w:rPr>
          <w:sz w:val="21"/>
          <w:szCs w:val="21"/>
        </w:rPr>
      </w:pPr>
      <w:r>
        <w:rPr>
          <w:sz w:val="21"/>
          <w:szCs w:val="21"/>
        </w:rPr>
        <w:t>[4] 杨晨. 标量衍射的优化数值计算方法研究[D]. 北京: 中国科学院大学（中国科学院长春光学精密机械与物理研究所）, 2025.</w:t>
      </w:r>
    </w:p>
    <w:p w14:paraId="62D696B8">
      <w:pPr>
        <w:spacing w:line="240" w:lineRule="auto"/>
        <w:rPr>
          <w:sz w:val="21"/>
          <w:szCs w:val="21"/>
        </w:rPr>
      </w:pPr>
      <w:r>
        <w:rPr>
          <w:sz w:val="21"/>
          <w:szCs w:val="21"/>
        </w:rPr>
        <w:t>[5] 陈海涛, 杨华军, 李拓辉, 等. 光纤偏移对空间光-单模光纤耦合效率的影响[J]. 激光与红外, 2011, 41(1): 75–78.</w:t>
      </w:r>
    </w:p>
    <w:p w14:paraId="5D6109DA">
      <w:pPr>
        <w:spacing w:line="240" w:lineRule="auto"/>
        <w:rPr>
          <w:sz w:val="21"/>
          <w:szCs w:val="21"/>
        </w:rPr>
      </w:pPr>
      <w:r>
        <w:rPr>
          <w:sz w:val="21"/>
          <w:szCs w:val="21"/>
        </w:rPr>
        <w:t>[6] 魏晨露. 基于矩阵乘积角谱衍射算法的激光光强空间分布测量方法研究[D]. 南京: 南京理工大学, 2021.</w:t>
      </w:r>
    </w:p>
    <w:p w14:paraId="6EC3D772">
      <w:pPr>
        <w:spacing w:line="240" w:lineRule="auto"/>
        <w:rPr>
          <w:sz w:val="21"/>
          <w:szCs w:val="21"/>
        </w:rPr>
      </w:pPr>
      <w:r>
        <w:rPr>
          <w:sz w:val="21"/>
          <w:szCs w:val="21"/>
        </w:rPr>
        <w:t>[7] 李立洁. 聚焦系统对单模光纤空间光耦合影响分析[D]. 哈尔滨: 哈尔滨工业大学, 2014.</w:t>
      </w:r>
    </w:p>
    <w:p w14:paraId="6A2D15CA">
      <w:pPr>
        <w:spacing w:line="240" w:lineRule="auto"/>
        <w:rPr>
          <w:sz w:val="21"/>
          <w:szCs w:val="21"/>
        </w:rPr>
      </w:pPr>
      <w:r>
        <w:rPr>
          <w:sz w:val="21"/>
          <w:szCs w:val="21"/>
        </w:rPr>
        <w:t>[8] KLINE M, KAY I W. Electromagnetic Theory and Geometrical Optics[M]. New York: Interscience Publishers, 1965.</w:t>
      </w:r>
    </w:p>
    <w:p w14:paraId="5EA9DD71">
      <w:pPr>
        <w:spacing w:line="240" w:lineRule="auto"/>
        <w:rPr>
          <w:sz w:val="21"/>
          <w:szCs w:val="21"/>
        </w:rPr>
      </w:pPr>
      <w:r>
        <w:rPr>
          <w:sz w:val="21"/>
          <w:szCs w:val="21"/>
        </w:rPr>
        <w:t>[9] GOODMAN J W. Introduction to Fourier Optics[M]. 4th ed. New York: W. H. Freeman, 2017.</w:t>
      </w:r>
    </w:p>
    <w:p w14:paraId="35A129F1">
      <w:pPr>
        <w:spacing w:line="240" w:lineRule="auto"/>
        <w:rPr>
          <w:sz w:val="21"/>
          <w:szCs w:val="21"/>
        </w:rPr>
      </w:pPr>
      <w:r>
        <w:rPr>
          <w:sz w:val="21"/>
          <w:szCs w:val="21"/>
        </w:rPr>
        <w:t>[10] LUNEBURG R K. Mathematical Theory of Optics[M]. Berkeley: University of California Press, 1964.</w:t>
      </w:r>
    </w:p>
    <w:p w14:paraId="02D2DFFE">
      <w:pPr>
        <w:spacing w:line="240" w:lineRule="auto"/>
        <w:rPr>
          <w:sz w:val="21"/>
          <w:szCs w:val="21"/>
        </w:rPr>
      </w:pPr>
      <w:r>
        <w:rPr>
          <w:sz w:val="21"/>
          <w:szCs w:val="21"/>
        </w:rPr>
        <w:t>[11] ADRIAANSE J P, VAN DER STEEN H W G, BARTH J E. Practical Optimization of Electrostatic Lenses[J]. Journal of Vacuum Science &amp; Technology B, 1989, 7(4): 651–666.</w:t>
      </w:r>
    </w:p>
    <w:p w14:paraId="6EE7B3CA">
      <w:pPr>
        <w:spacing w:line="240" w:lineRule="auto"/>
        <w:rPr>
          <w:sz w:val="21"/>
          <w:szCs w:val="21"/>
        </w:rPr>
      </w:pPr>
      <w:r>
        <w:rPr>
          <w:sz w:val="21"/>
          <w:szCs w:val="21"/>
        </w:rPr>
        <w:t>[12] SPENCER G H, MURTY M V R K. General Ray-Tracing Procedure[J]. Journal of the Optical Society of America, 1962, 52(6): 672–678.</w:t>
      </w:r>
    </w:p>
    <w:p w14:paraId="49E94625">
      <w:pPr>
        <w:spacing w:line="240" w:lineRule="auto"/>
        <w:rPr>
          <w:sz w:val="21"/>
          <w:szCs w:val="21"/>
        </w:rPr>
      </w:pPr>
      <w:r>
        <w:rPr>
          <w:sz w:val="21"/>
          <w:szCs w:val="21"/>
        </w:rPr>
        <w:t>[13] SNYDER A W, LOVE J D. Optical Waveguide Theory[M]. London: Chapman and Hall, 1983.</w:t>
      </w:r>
    </w:p>
    <w:p w14:paraId="1534CA4B">
      <w:pPr>
        <w:spacing w:line="240" w:lineRule="auto"/>
        <w:rPr>
          <w:sz w:val="21"/>
          <w:szCs w:val="21"/>
        </w:rPr>
      </w:pPr>
      <w:r>
        <w:rPr>
          <w:sz w:val="21"/>
          <w:szCs w:val="21"/>
        </w:rPr>
        <w:t>[14] POLYANSKIY M N. Refractiveindex.info Database of Optical Constants[J]. Scientific Data, 2024, 11: 94.</w:t>
      </w:r>
    </w:p>
    <w:p w14:paraId="25415259">
      <w:pPr>
        <w:spacing w:line="240" w:lineRule="auto"/>
        <w:rPr>
          <w:sz w:val="21"/>
          <w:szCs w:val="21"/>
        </w:rPr>
      </w:pPr>
      <w:r>
        <w:rPr>
          <w:sz w:val="21"/>
          <w:szCs w:val="21"/>
        </w:rPr>
        <w:t>[15] VOELZ D G. Computational Fourier Optics: A MATLAB Tutorial[M]. Bellingham, WA: SPIE Press, 2011.</w:t>
      </w:r>
    </w:p>
    <w:p w14:paraId="5600F586">
      <w:bookmarkStart w:id="60" w:name="_Toc11446"/>
      <w:r>
        <w:rPr>
          <w:rFonts w:hint="eastAsia"/>
        </w:rPr>
        <w:br w:type="page"/>
      </w:r>
    </w:p>
    <w:p w14:paraId="7DD803AC">
      <w:pPr>
        <w:pStyle w:val="2"/>
        <w:spacing w:before="312" w:after="312"/>
      </w:pPr>
      <w:r>
        <w:rPr>
          <w:rFonts w:hint="eastAsia"/>
        </w:rPr>
        <w:t>附录</w:t>
      </w:r>
      <w:bookmarkEnd w:id="60"/>
    </w:p>
    <w:p w14:paraId="6311D033">
      <w:pPr>
        <w:pStyle w:val="3"/>
        <w:spacing w:before="249" w:after="249"/>
      </w:pPr>
      <w:bookmarkStart w:id="61" w:name="_Toc5535"/>
      <w:r>
        <w:rPr>
          <w:rFonts w:hint="eastAsia"/>
        </w:rPr>
        <w:t>附录A材料数据来源</w:t>
      </w:r>
      <w:bookmarkEnd w:id="61"/>
    </w:p>
    <w:p w14:paraId="3D6D11F7">
      <w:pPr>
        <w:ind w:firstLine="480" w:firstLineChars="200"/>
      </w:pPr>
      <w:r>
        <w:t>材料数据来源于开源软件opticskit 的data 部分，仅引用其中的json 文件，未引用源码。</w:t>
      </w:r>
    </w:p>
    <w:p w14:paraId="1C56F79D">
      <w:pPr>
        <w:ind w:firstLine="480" w:firstLineChars="200"/>
      </w:pPr>
      <w:r>
        <w:t>材料光学常数来源于refractiveindex.info 数据库，遵循CC0 1.0 通用公共领域授权协议。</w:t>
      </w:r>
    </w:p>
    <w:p w14:paraId="4F66156E">
      <w:pPr>
        <w:ind w:firstLine="480" w:firstLineChars="200"/>
      </w:pPr>
      <w:r>
        <w:t>部分补充光学玻璃条目在JSON 文件内保留了肖特（Schott）产品目录元信息。</w:t>
      </w:r>
    </w:p>
    <w:p w14:paraId="1A50FD2C">
      <w:pPr>
        <w:ind w:firstLine="480" w:firstLineChars="200"/>
      </w:pPr>
      <w:r>
        <w:t>在代码中也作了说明。</w:t>
      </w:r>
    </w:p>
    <w:p w14:paraId="300D3D27">
      <w:pPr>
        <w:ind w:firstLine="480" w:firstLineChars="200"/>
      </w:pPr>
    </w:p>
    <w:p w14:paraId="06EFD58B">
      <w:pPr>
        <w:ind w:firstLine="480" w:firstLineChars="200"/>
      </w:pPr>
      <w:r>
        <w:drawing>
          <wp:inline distT="0" distB="0" distL="114300" distR="114300">
            <wp:extent cx="5684520" cy="723900"/>
            <wp:effectExtent l="0" t="0" r="1143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6"/>
                    <a:stretch>
                      <a:fillRect/>
                    </a:stretch>
                  </pic:blipFill>
                  <pic:spPr>
                    <a:xfrm>
                      <a:off x="0" y="0"/>
                      <a:ext cx="5684520" cy="723900"/>
                    </a:xfrm>
                    <a:prstGeom prst="rect">
                      <a:avLst/>
                    </a:prstGeom>
                    <a:noFill/>
                    <a:ln>
                      <a:noFill/>
                    </a:ln>
                  </pic:spPr>
                </pic:pic>
              </a:graphicData>
            </a:graphic>
          </wp:inline>
        </w:drawing>
      </w:r>
    </w:p>
    <w:p w14:paraId="39DFD6D7">
      <w:pPr>
        <w:pStyle w:val="7"/>
        <w:ind w:firstLine="400" w:firstLineChars="200"/>
        <w:jc w:val="center"/>
        <w:rPr>
          <w:rFonts w:eastAsia="宋体"/>
        </w:rPr>
      </w:pPr>
      <w:r>
        <w:rPr>
          <w:rFonts w:ascii="宋体" w:hAnsi="宋体" w:eastAsia="宋体"/>
          <w:color w:val="000000"/>
        </w:rPr>
        <w:t xml:space="preserve">图 </w:t>
      </w:r>
      <w:r>
        <w:rPr>
          <w:rFonts w:ascii="Times New Roman" w:hAnsi="Times New Roman" w:eastAsia="宋体" w:cs="Times New Roman"/>
          <w:color w:val="000000"/>
        </w:rPr>
        <w:t>A-1</w:t>
      </w:r>
      <w:r>
        <w:rPr>
          <w:rFonts w:ascii="宋体" w:hAnsi="宋体" w:eastAsia="宋体"/>
          <w:color w:val="000000"/>
        </w:rPr>
        <w:t xml:space="preserve"> 材料数据来源说明</w:t>
      </w:r>
    </w:p>
    <w:p w14:paraId="5B41C96D">
      <w:pPr>
        <w:pStyle w:val="3"/>
        <w:spacing w:before="249" w:after="249"/>
      </w:pPr>
      <w:bookmarkStart w:id="62" w:name="_Toc32148"/>
      <w:r>
        <w:rPr>
          <w:rFonts w:hint="eastAsia"/>
        </w:rPr>
        <w:t>附录B AI使用声明</w:t>
      </w:r>
      <w:bookmarkEnd w:id="62"/>
    </w:p>
    <w:p w14:paraId="05D933D7">
      <w:pPr>
        <w:ind w:firstLine="480" w:firstLineChars="200"/>
      </w:pPr>
      <w:r>
        <w:rPr>
          <w:rFonts w:hint="eastAsia"/>
        </w:rPr>
        <w:t>光学仿真：AI根据成员提供的参数和公式辅助生成代码，测试数值是否收敛，占比约42%</w:t>
      </w:r>
    </w:p>
    <w:p w14:paraId="78A67F64">
      <w:pPr>
        <w:ind w:firstLine="480" w:firstLineChars="200"/>
      </w:pPr>
      <w:r>
        <w:rPr>
          <w:rFonts w:hint="eastAsia"/>
        </w:rPr>
        <w:t>机器学习：AI协助成员搜索算法并进行修改，占比约50%</w:t>
      </w:r>
    </w:p>
    <w:p w14:paraId="267219B0">
      <w:pPr>
        <w:ind w:firstLine="480" w:firstLineChars="200"/>
      </w:pPr>
      <w:r>
        <w:rPr>
          <w:rFonts w:hint="eastAsia"/>
        </w:rPr>
        <w:t>前端代码：AI根据成员指定布局框架生成代码，并辅助成员写通信代码，占比约32%</w:t>
      </w:r>
    </w:p>
    <w:p w14:paraId="0250403F">
      <w:pPr>
        <w:ind w:firstLine="480" w:firstLineChars="200"/>
      </w:pPr>
      <w:r>
        <w:rPr>
          <w:rFonts w:hint="eastAsia"/>
        </w:rPr>
        <w:t>后端代码：AI根据成员指定链路辅助生成代码、写通信代码、修复bug，占比约60%</w:t>
      </w:r>
    </w:p>
    <w:p w14:paraId="5BBD530D">
      <w:pPr>
        <w:ind w:firstLine="480" w:firstLineChars="200"/>
      </w:pPr>
      <w:r>
        <w:t>以下核心工作完全由团队独立完成，AI未参与：</w:t>
      </w:r>
    </w:p>
    <w:p w14:paraId="09281356">
      <w:pPr>
        <w:ind w:firstLine="480" w:firstLineChars="200"/>
      </w:pPr>
      <w:r>
        <w:t>总体技术路线、软件架构设计、光学物理模型与假设；所有系统参数（光源、光纤、透镜组合）、约束条件、评价指标；训练数据生成方式、特征选择、优化目标与验证方案；仿真结果的复核、候选方案的最终确定、研究结论和创新点总结。</w:t>
      </w:r>
    </w:p>
    <w:p w14:paraId="617A8D27">
      <w:pPr>
        <w:pStyle w:val="3"/>
        <w:spacing w:before="249" w:after="249"/>
      </w:pPr>
    </w:p>
    <w:sectPr>
      <w:footerReference r:id="rId7" w:type="default"/>
      <w:pgSz w:w="11906" w:h="16838"/>
      <w:pgMar w:top="1417" w:right="1134" w:bottom="1417" w:left="1417"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pPr>
      <w:r>
        <w:separator/>
      </w:r>
    </w:p>
  </w:endnote>
  <w:endnote w:type="continuationSeparator" w:id="1">
    <w:p>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FandolSong">
    <w:altName w:val="Calibri"/>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427FB">
    <w:pPr>
      <w:pStyle w:val="1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DA19D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6DA19D5">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4E7FB">
    <w:pPr>
      <w:pStyle w:val="1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D7C94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23D7C945">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21072">
    <w:pPr>
      <w:pStyle w:val="1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4065F4">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4D4065F4">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480"/>
      </w:pPr>
      <w:r>
        <w:separator/>
      </w:r>
    </w:p>
  </w:footnote>
  <w:footnote w:type="continuationSeparator" w:id="1">
    <w:p>
      <w:pPr>
        <w:spacing w:line="360" w:lineRule="auto"/>
        <w:ind w:left="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0C3A13"/>
    <w:multiLevelType w:val="multilevel"/>
    <w:tmpl w:val="780C3A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E6A7C8A"/>
    <w:multiLevelType w:val="multilevel"/>
    <w:tmpl w:val="7E6A7C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FE24CA0"/>
    <w:multiLevelType w:val="multilevel"/>
    <w:tmpl w:val="7FE24C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4E4712"/>
    <w:rsid w:val="00064A48"/>
    <w:rsid w:val="00316115"/>
    <w:rsid w:val="003F268D"/>
    <w:rsid w:val="00500A4A"/>
    <w:rsid w:val="00622F82"/>
    <w:rsid w:val="006C4D37"/>
    <w:rsid w:val="006C7B51"/>
    <w:rsid w:val="00752842"/>
    <w:rsid w:val="007E0C73"/>
    <w:rsid w:val="007E7281"/>
    <w:rsid w:val="0084150B"/>
    <w:rsid w:val="00855FC1"/>
    <w:rsid w:val="008A53E9"/>
    <w:rsid w:val="00917D5C"/>
    <w:rsid w:val="009714B3"/>
    <w:rsid w:val="00A3596A"/>
    <w:rsid w:val="00A51FE2"/>
    <w:rsid w:val="00A57044"/>
    <w:rsid w:val="00CA3FD7"/>
    <w:rsid w:val="00CB02F9"/>
    <w:rsid w:val="00CF0327"/>
    <w:rsid w:val="00D42929"/>
    <w:rsid w:val="00DB279D"/>
    <w:rsid w:val="00E573D8"/>
    <w:rsid w:val="00E8720F"/>
    <w:rsid w:val="00F06DBC"/>
    <w:rsid w:val="05A76A4C"/>
    <w:rsid w:val="05F0454A"/>
    <w:rsid w:val="21435A29"/>
    <w:rsid w:val="34D13E24"/>
    <w:rsid w:val="454969AB"/>
    <w:rsid w:val="54B75204"/>
    <w:rsid w:val="62181F93"/>
    <w:rsid w:val="62AE1D54"/>
    <w:rsid w:val="6C4E4712"/>
    <w:rsid w:val="6F562515"/>
    <w:rsid w:val="6FD51606"/>
    <w:rsid w:val="73BB55E0"/>
    <w:rsid w:val="7B186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480" w:leftChars="200"/>
    </w:pPr>
    <w:rPr>
      <w:rFonts w:ascii="Times New Roman" w:hAnsi="Times New Roman" w:eastAsia="宋体" w:cstheme="minorBidi"/>
      <w:color w:val="000000" w:themeColor="text1"/>
      <w:kern w:val="2"/>
      <w:sz w:val="24"/>
      <w:szCs w:val="24"/>
      <w:lang w:val="en-US" w:eastAsia="zh-CN" w:bidi="ar-SA"/>
      <w14:textFill>
        <w14:solidFill>
          <w14:schemeClr w14:val="tx1"/>
        </w14:solidFill>
      </w14:textFill>
    </w:rPr>
  </w:style>
  <w:style w:type="paragraph" w:styleId="2">
    <w:name w:val="heading 1"/>
    <w:basedOn w:val="1"/>
    <w:next w:val="1"/>
    <w:link w:val="24"/>
    <w:qFormat/>
    <w:uiPriority w:val="0"/>
    <w:pPr>
      <w:keepNext/>
      <w:keepLines/>
      <w:spacing w:before="100" w:beforeLines="100" w:after="100" w:afterLines="100" w:line="576" w:lineRule="auto"/>
      <w:ind w:left="0" w:leftChars="0"/>
      <w:outlineLvl w:val="0"/>
    </w:pPr>
    <w:rPr>
      <w:rFonts w:eastAsia="黑体"/>
      <w:b/>
      <w:kern w:val="44"/>
      <w:sz w:val="44"/>
    </w:rPr>
  </w:style>
  <w:style w:type="paragraph" w:styleId="3">
    <w:name w:val="heading 2"/>
    <w:basedOn w:val="1"/>
    <w:next w:val="1"/>
    <w:link w:val="22"/>
    <w:unhideWhenUsed/>
    <w:qFormat/>
    <w:uiPriority w:val="0"/>
    <w:pPr>
      <w:keepNext/>
      <w:keepLines/>
      <w:spacing w:before="80" w:beforeLines="80" w:after="80" w:afterLines="80" w:line="413" w:lineRule="auto"/>
      <w:ind w:left="0" w:leftChars="0"/>
      <w:outlineLvl w:val="1"/>
    </w:pPr>
    <w:rPr>
      <w:rFonts w:eastAsia="黑体"/>
      <w:b/>
      <w:sz w:val="30"/>
    </w:rPr>
  </w:style>
  <w:style w:type="paragraph" w:styleId="4">
    <w:name w:val="heading 3"/>
    <w:basedOn w:val="1"/>
    <w:next w:val="1"/>
    <w:link w:val="18"/>
    <w:unhideWhenUsed/>
    <w:qFormat/>
    <w:uiPriority w:val="0"/>
    <w:pPr>
      <w:keepNext/>
      <w:keepLines/>
      <w:spacing w:before="50" w:beforeLines="50" w:after="50" w:afterLines="50" w:line="413" w:lineRule="auto"/>
      <w:ind w:left="0" w:leftChars="0"/>
      <w:outlineLvl w:val="2"/>
    </w:pPr>
    <w:rPr>
      <w:rFonts w:eastAsia="黑体"/>
      <w:b/>
      <w:sz w:val="28"/>
    </w:rPr>
  </w:style>
  <w:style w:type="paragraph" w:styleId="5">
    <w:name w:val="heading 4"/>
    <w:basedOn w:val="1"/>
    <w:next w:val="1"/>
    <w:unhideWhenUsed/>
    <w:qFormat/>
    <w:uiPriority w:val="0"/>
    <w:pPr>
      <w:keepNext/>
      <w:keepLines/>
      <w:spacing w:before="280" w:after="290" w:line="372" w:lineRule="auto"/>
      <w:ind w:left="0" w:leftChars="0"/>
      <w:outlineLvl w:val="3"/>
    </w:pPr>
    <w:rPr>
      <w:rFonts w:eastAsia="黑体"/>
      <w:b/>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toc 3"/>
    <w:basedOn w:val="1"/>
    <w:next w:val="1"/>
    <w:qFormat/>
    <w:uiPriority w:val="0"/>
    <w:pPr>
      <w:ind w:left="840" w:leftChars="400"/>
    </w:pPr>
  </w:style>
  <w:style w:type="paragraph" w:styleId="9">
    <w:name w:val="Body Text Indent 2"/>
    <w:basedOn w:val="1"/>
    <w:link w:val="25"/>
    <w:qFormat/>
    <w:uiPriority w:val="0"/>
    <w:pPr>
      <w:spacing w:after="120" w:line="480" w:lineRule="auto"/>
      <w:ind w:left="420"/>
    </w:pPr>
  </w:style>
  <w:style w:type="paragraph" w:styleId="10">
    <w:name w:val="footer"/>
    <w:basedOn w:val="1"/>
    <w:qFormat/>
    <w:uiPriority w:val="0"/>
    <w:pPr>
      <w:tabs>
        <w:tab w:val="center" w:pos="4153"/>
        <w:tab w:val="right" w:pos="8306"/>
      </w:tabs>
      <w:snapToGrid w:val="0"/>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12">
    <w:name w:val="toc 1"/>
    <w:basedOn w:val="1"/>
    <w:next w:val="1"/>
    <w:qFormat/>
    <w:uiPriority w:val="0"/>
    <w:pPr>
      <w:jc w:val="center"/>
    </w:pPr>
    <w:rPr>
      <w:rFonts w:eastAsia="黑体"/>
      <w:sz w:val="44"/>
    </w:rPr>
  </w:style>
  <w:style w:type="paragraph" w:styleId="13">
    <w:name w:val="toc 2"/>
    <w:basedOn w:val="1"/>
    <w:next w:val="1"/>
    <w:qFormat/>
    <w:uiPriority w:val="0"/>
    <w:pPr>
      <w:ind w:left="420"/>
    </w:pPr>
  </w:style>
  <w:style w:type="paragraph" w:styleId="14">
    <w:name w:val="Normal (Web)"/>
    <w:basedOn w:val="1"/>
    <w:qFormat/>
    <w:uiPriority w:val="0"/>
    <w:pPr>
      <w:spacing w:beforeAutospacing="1" w:afterAutospacing="1"/>
      <w:ind w:left="0"/>
    </w:pPr>
    <w:rPr>
      <w:rFonts w:cs="Times New Roman"/>
      <w:kern w:val="0"/>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3 字符"/>
    <w:basedOn w:val="17"/>
    <w:link w:val="4"/>
    <w:uiPriority w:val="0"/>
    <w:rPr>
      <w:rFonts w:hint="eastAsia" w:ascii="黑体" w:hAnsi="宋体" w:eastAsia="黑体" w:cs="Times New Roman"/>
      <w:b/>
      <w:color w:val="000000"/>
      <w:kern w:val="2"/>
      <w:sz w:val="28"/>
      <w:szCs w:val="24"/>
    </w:rPr>
  </w:style>
  <w:style w:type="paragraph" w:customStyle="1" w:styleId="19">
    <w:name w:val="WPSOffice手动目录 1"/>
    <w:qFormat/>
    <w:uiPriority w:val="0"/>
    <w:rPr>
      <w:rFonts w:ascii="Times New Roman" w:hAnsi="Times New Roman" w:eastAsia="宋体" w:cs="Times New Roman"/>
      <w:lang w:val="en-US" w:eastAsia="zh-CN" w:bidi="ar-SA"/>
    </w:rPr>
  </w:style>
  <w:style w:type="paragraph" w:customStyle="1" w:styleId="20">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1">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22">
    <w:name w:val="标题 2 字符"/>
    <w:link w:val="3"/>
    <w:qFormat/>
    <w:uiPriority w:val="0"/>
    <w:rPr>
      <w:rFonts w:ascii="Times New Roman" w:hAnsi="Times New Roman" w:eastAsia="黑体"/>
      <w:b/>
      <w:sz w:val="30"/>
    </w:rPr>
  </w:style>
  <w:style w:type="character" w:styleId="23">
    <w:name w:val="Placeholder Text"/>
    <w:basedOn w:val="17"/>
    <w:unhideWhenUsed/>
    <w:qFormat/>
    <w:uiPriority w:val="99"/>
    <w:rPr>
      <w:color w:val="666666"/>
    </w:rPr>
  </w:style>
  <w:style w:type="character" w:customStyle="1" w:styleId="24">
    <w:name w:val="标题 1 字符"/>
    <w:basedOn w:val="17"/>
    <w:link w:val="2"/>
    <w:uiPriority w:val="0"/>
    <w:rPr>
      <w:rFonts w:hint="eastAsia" w:ascii="黑体" w:hAnsi="宋体" w:eastAsia="黑体" w:cs="Times New Roman"/>
      <w:b/>
      <w:color w:val="000000"/>
      <w:kern w:val="44"/>
      <w:sz w:val="44"/>
      <w:szCs w:val="24"/>
    </w:rPr>
  </w:style>
  <w:style w:type="character" w:customStyle="1" w:styleId="25">
    <w:name w:val="正文文本缩进 2 字符"/>
    <w:basedOn w:val="17"/>
    <w:link w:val="9"/>
    <w:uiPriority w:val="0"/>
    <w:rPr>
      <w:rFonts w:hint="default" w:ascii="Times New Roman" w:hAnsi="Times New Roman" w:cs="Times New Roman"/>
      <w:color w:val="000000"/>
      <w:kern w:val="2"/>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63.png"/><Relationship Id="rId98" Type="http://schemas.openxmlformats.org/officeDocument/2006/relationships/image" Target="media/image62.png"/><Relationship Id="rId97" Type="http://schemas.openxmlformats.org/officeDocument/2006/relationships/image" Target="media/image61.png"/><Relationship Id="rId96" Type="http://schemas.openxmlformats.org/officeDocument/2006/relationships/image" Target="media/image60.wmf"/><Relationship Id="rId95" Type="http://schemas.openxmlformats.org/officeDocument/2006/relationships/oleObject" Target="embeddings/oleObject28.bin"/><Relationship Id="rId94" Type="http://schemas.openxmlformats.org/officeDocument/2006/relationships/image" Target="media/image59.wmf"/><Relationship Id="rId93" Type="http://schemas.openxmlformats.org/officeDocument/2006/relationships/oleObject" Target="embeddings/oleObject27.bin"/><Relationship Id="rId92" Type="http://schemas.openxmlformats.org/officeDocument/2006/relationships/image" Target="media/image58.wmf"/><Relationship Id="rId91" Type="http://schemas.openxmlformats.org/officeDocument/2006/relationships/oleObject" Target="embeddings/oleObject26.bin"/><Relationship Id="rId90" Type="http://schemas.openxmlformats.org/officeDocument/2006/relationships/image" Target="media/image57.png"/><Relationship Id="rId9" Type="http://schemas.openxmlformats.org/officeDocument/2006/relationships/image" Target="media/image1.png"/><Relationship Id="rId89" Type="http://schemas.openxmlformats.org/officeDocument/2006/relationships/image" Target="media/image56.jpeg"/><Relationship Id="rId88" Type="http://schemas.openxmlformats.org/officeDocument/2006/relationships/image" Target="media/image55.png"/><Relationship Id="rId87" Type="http://schemas.openxmlformats.org/officeDocument/2006/relationships/image" Target="media/image54.png"/><Relationship Id="rId86" Type="http://schemas.openxmlformats.org/officeDocument/2006/relationships/image" Target="media/image53.jpeg"/><Relationship Id="rId85" Type="http://schemas.openxmlformats.org/officeDocument/2006/relationships/image" Target="media/image52.jpeg"/><Relationship Id="rId84" Type="http://schemas.openxmlformats.org/officeDocument/2006/relationships/image" Target="media/image51.jpeg"/><Relationship Id="rId83" Type="http://schemas.openxmlformats.org/officeDocument/2006/relationships/image" Target="media/image50.jpeg"/><Relationship Id="rId82" Type="http://schemas.openxmlformats.org/officeDocument/2006/relationships/image" Target="media/image49.jpeg"/><Relationship Id="rId81" Type="http://schemas.openxmlformats.org/officeDocument/2006/relationships/image" Target="media/image48.jpeg"/><Relationship Id="rId80" Type="http://schemas.openxmlformats.org/officeDocument/2006/relationships/image" Target="media/image47.jpeg"/><Relationship Id="rId8" Type="http://schemas.openxmlformats.org/officeDocument/2006/relationships/theme" Target="theme/theme1.xml"/><Relationship Id="rId79" Type="http://schemas.openxmlformats.org/officeDocument/2006/relationships/image" Target="media/image46.jpeg"/><Relationship Id="rId78" Type="http://schemas.openxmlformats.org/officeDocument/2006/relationships/image" Target="media/image45.jpeg"/><Relationship Id="rId77" Type="http://schemas.openxmlformats.org/officeDocument/2006/relationships/image" Target="media/image44.jpeg"/><Relationship Id="rId76" Type="http://schemas.openxmlformats.org/officeDocument/2006/relationships/image" Target="media/image43.jpeg"/><Relationship Id="rId75" Type="http://schemas.openxmlformats.org/officeDocument/2006/relationships/image" Target="media/image42.jpeg"/><Relationship Id="rId74" Type="http://schemas.openxmlformats.org/officeDocument/2006/relationships/image" Target="media/image41.jpeg"/><Relationship Id="rId73" Type="http://schemas.openxmlformats.org/officeDocument/2006/relationships/image" Target="media/image40.jpeg"/><Relationship Id="rId72" Type="http://schemas.openxmlformats.org/officeDocument/2006/relationships/image" Target="media/image39.jpeg"/><Relationship Id="rId71" Type="http://schemas.openxmlformats.org/officeDocument/2006/relationships/image" Target="media/image38.jpeg"/><Relationship Id="rId70" Type="http://schemas.openxmlformats.org/officeDocument/2006/relationships/image" Target="media/image37.png"/><Relationship Id="rId7" Type="http://schemas.openxmlformats.org/officeDocument/2006/relationships/footer" Target="footer3.xml"/><Relationship Id="rId69" Type="http://schemas.openxmlformats.org/officeDocument/2006/relationships/image" Target="media/image36.wmf"/><Relationship Id="rId68" Type="http://schemas.openxmlformats.org/officeDocument/2006/relationships/oleObject" Target="embeddings/oleObject25.bin"/><Relationship Id="rId67" Type="http://schemas.openxmlformats.org/officeDocument/2006/relationships/image" Target="media/image35.wmf"/><Relationship Id="rId66" Type="http://schemas.openxmlformats.org/officeDocument/2006/relationships/oleObject" Target="embeddings/oleObject24.bin"/><Relationship Id="rId65" Type="http://schemas.openxmlformats.org/officeDocument/2006/relationships/image" Target="media/image34.wmf"/><Relationship Id="rId64" Type="http://schemas.openxmlformats.org/officeDocument/2006/relationships/oleObject" Target="embeddings/oleObject23.bin"/><Relationship Id="rId63" Type="http://schemas.openxmlformats.org/officeDocument/2006/relationships/image" Target="media/image33.wmf"/><Relationship Id="rId62" Type="http://schemas.openxmlformats.org/officeDocument/2006/relationships/oleObject" Target="embeddings/oleObject22.bin"/><Relationship Id="rId61" Type="http://schemas.openxmlformats.org/officeDocument/2006/relationships/image" Target="media/image32.wmf"/><Relationship Id="rId60" Type="http://schemas.openxmlformats.org/officeDocument/2006/relationships/oleObject" Target="embeddings/oleObject21.bin"/><Relationship Id="rId6" Type="http://schemas.openxmlformats.org/officeDocument/2006/relationships/footer" Target="footer2.xml"/><Relationship Id="rId59" Type="http://schemas.openxmlformats.org/officeDocument/2006/relationships/image" Target="media/image31.wmf"/><Relationship Id="rId58" Type="http://schemas.openxmlformats.org/officeDocument/2006/relationships/oleObject" Target="embeddings/oleObject20.bin"/><Relationship Id="rId57" Type="http://schemas.openxmlformats.org/officeDocument/2006/relationships/image" Target="media/image30.wmf"/><Relationship Id="rId56" Type="http://schemas.openxmlformats.org/officeDocument/2006/relationships/oleObject" Target="embeddings/oleObject19.bin"/><Relationship Id="rId55" Type="http://schemas.openxmlformats.org/officeDocument/2006/relationships/image" Target="media/image29.wmf"/><Relationship Id="rId54" Type="http://schemas.openxmlformats.org/officeDocument/2006/relationships/oleObject" Target="embeddings/oleObject18.bin"/><Relationship Id="rId53" Type="http://schemas.openxmlformats.org/officeDocument/2006/relationships/image" Target="media/image28.wmf"/><Relationship Id="rId52" Type="http://schemas.openxmlformats.org/officeDocument/2006/relationships/oleObject" Target="embeddings/oleObject17.bin"/><Relationship Id="rId51" Type="http://schemas.openxmlformats.org/officeDocument/2006/relationships/image" Target="media/image27.wmf"/><Relationship Id="rId50" Type="http://schemas.openxmlformats.org/officeDocument/2006/relationships/oleObject" Target="embeddings/oleObject16.bin"/><Relationship Id="rId5" Type="http://schemas.openxmlformats.org/officeDocument/2006/relationships/footer" Target="footer1.xml"/><Relationship Id="rId49" Type="http://schemas.openxmlformats.org/officeDocument/2006/relationships/image" Target="media/image26.wmf"/><Relationship Id="rId48" Type="http://schemas.openxmlformats.org/officeDocument/2006/relationships/oleObject" Target="embeddings/oleObject15.bin"/><Relationship Id="rId47" Type="http://schemas.openxmlformats.org/officeDocument/2006/relationships/image" Target="media/image25.wmf"/><Relationship Id="rId46" Type="http://schemas.openxmlformats.org/officeDocument/2006/relationships/oleObject" Target="embeddings/oleObject14.bin"/><Relationship Id="rId45" Type="http://schemas.openxmlformats.org/officeDocument/2006/relationships/image" Target="media/image24.wmf"/><Relationship Id="rId44" Type="http://schemas.openxmlformats.org/officeDocument/2006/relationships/oleObject" Target="embeddings/oleObject13.bin"/><Relationship Id="rId43" Type="http://schemas.openxmlformats.org/officeDocument/2006/relationships/image" Target="media/image23.wmf"/><Relationship Id="rId42" Type="http://schemas.openxmlformats.org/officeDocument/2006/relationships/oleObject" Target="embeddings/oleObject12.bin"/><Relationship Id="rId41" Type="http://schemas.openxmlformats.org/officeDocument/2006/relationships/image" Target="media/image22.wmf"/><Relationship Id="rId40" Type="http://schemas.openxmlformats.org/officeDocument/2006/relationships/oleObject" Target="embeddings/oleObject11.bin"/><Relationship Id="rId4" Type="http://schemas.openxmlformats.org/officeDocument/2006/relationships/endnotes" Target="endnotes.xml"/><Relationship Id="rId39" Type="http://schemas.openxmlformats.org/officeDocument/2006/relationships/image" Target="media/image21.wmf"/><Relationship Id="rId38" Type="http://schemas.openxmlformats.org/officeDocument/2006/relationships/oleObject" Target="embeddings/oleObject10.bin"/><Relationship Id="rId37" Type="http://schemas.openxmlformats.org/officeDocument/2006/relationships/image" Target="media/image20.wmf"/><Relationship Id="rId36" Type="http://schemas.openxmlformats.org/officeDocument/2006/relationships/oleObject" Target="embeddings/oleObject9.bin"/><Relationship Id="rId35" Type="http://schemas.openxmlformats.org/officeDocument/2006/relationships/image" Target="media/image19.wmf"/><Relationship Id="rId34" Type="http://schemas.openxmlformats.org/officeDocument/2006/relationships/oleObject" Target="embeddings/oleObject8.bin"/><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wmf"/><Relationship Id="rId30" Type="http://schemas.openxmlformats.org/officeDocument/2006/relationships/oleObject" Target="embeddings/oleObject7.bin"/><Relationship Id="rId3" Type="http://schemas.openxmlformats.org/officeDocument/2006/relationships/footnotes" Target="footnotes.xml"/><Relationship Id="rId29" Type="http://schemas.openxmlformats.org/officeDocument/2006/relationships/image" Target="media/image15.wmf"/><Relationship Id="rId28" Type="http://schemas.openxmlformats.org/officeDocument/2006/relationships/oleObject" Target="embeddings/oleObject6.bin"/><Relationship Id="rId27" Type="http://schemas.openxmlformats.org/officeDocument/2006/relationships/image" Target="media/image14.wmf"/><Relationship Id="rId26" Type="http://schemas.openxmlformats.org/officeDocument/2006/relationships/oleObject" Target="embeddings/oleObject5.bin"/><Relationship Id="rId25" Type="http://schemas.openxmlformats.org/officeDocument/2006/relationships/image" Target="media/image13.wmf"/><Relationship Id="rId24" Type="http://schemas.openxmlformats.org/officeDocument/2006/relationships/oleObject" Target="embeddings/oleObject4.bin"/><Relationship Id="rId23" Type="http://schemas.openxmlformats.org/officeDocument/2006/relationships/image" Target="media/image12.png"/><Relationship Id="rId22" Type="http://schemas.openxmlformats.org/officeDocument/2006/relationships/image" Target="media/image11.wmf"/><Relationship Id="rId21" Type="http://schemas.openxmlformats.org/officeDocument/2006/relationships/oleObject" Target="embeddings/oleObject3.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9.wmf"/><Relationship Id="rId17" Type="http://schemas.openxmlformats.org/officeDocument/2006/relationships/oleObject" Target="embeddings/oleObject1.bin"/><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9" Type="http://schemas.openxmlformats.org/officeDocument/2006/relationships/fontTable" Target="fontTable.xml"/><Relationship Id="rId108" Type="http://schemas.openxmlformats.org/officeDocument/2006/relationships/numbering" Target="numbering.xml"/><Relationship Id="rId107" Type="http://schemas.openxmlformats.org/officeDocument/2006/relationships/customXml" Target="../customXml/item1.xml"/><Relationship Id="rId106" Type="http://schemas.openxmlformats.org/officeDocument/2006/relationships/image" Target="media/image70.png"/><Relationship Id="rId105" Type="http://schemas.openxmlformats.org/officeDocument/2006/relationships/image" Target="media/image69.png"/><Relationship Id="rId104" Type="http://schemas.openxmlformats.org/officeDocument/2006/relationships/image" Target="media/image68.png"/><Relationship Id="rId103" Type="http://schemas.openxmlformats.org/officeDocument/2006/relationships/image" Target="media/image67.png"/><Relationship Id="rId102" Type="http://schemas.openxmlformats.org/officeDocument/2006/relationships/image" Target="media/image66.png"/><Relationship Id="rId101" Type="http://schemas.openxmlformats.org/officeDocument/2006/relationships/image" Target="media/image65.png"/><Relationship Id="rId100" Type="http://schemas.openxmlformats.org/officeDocument/2006/relationships/image" Target="media/image64.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5899</Words>
  <Characters>7955</Characters>
  <Lines>659</Lines>
  <Paragraphs>531</Paragraphs>
  <TotalTime>7</TotalTime>
  <ScaleCrop>false</ScaleCrop>
  <LinksUpToDate>false</LinksUpToDate>
  <CharactersWithSpaces>8483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2026-09-22T12:44:00Z</dcterms:created>
  <dc:creator>Sky-Fly</dc:creator>
  <cp:lastModifiedBy>久七</cp:lastModifiedBy>
  <dcterms:modified xsi:type="dcterms:W3CDTF">2026-09-22T12:48:43Z</dcterms:modified>
  <dc:subject>研究报告（实验验证部分留空）</dc:subject>
  <dc:title>激光耦合仿真系统及智能优化平台研究报告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DC870AF0BD154D8C8DEEB43C3B139CF5_13</vt:lpwstr>
  </property>
  <property fmtid="{D5CDD505-2E9C-101B-9397-08002B2CF9AE}" pid="4" name="KSOTemplateDocerSaveRecord">
    <vt:lpwstr>eyJoZGlkIjoiNDJkZTEyYmQ3ODY2YTdiZDMwYmJiNzRjZDU5MzRkNzkiLCJ1c2VySWQiOiIxNzc4NDExOTI5In0=</vt:lpwstr>
  </property>
</Properties>
</file>