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EC26B">
      <w:pPr>
        <w:pStyle w:val="2"/>
        <w:spacing w:before="312" w:after="312"/>
        <w:jc w:val="center"/>
        <w:rPr>
          <w:rFonts w:hint="eastAsia" w:ascii="黑体" w:hAnsi="黑体" w:cs="黑体"/>
        </w:rPr>
      </w:pPr>
      <w:bookmarkStart w:id="0" w:name="_Toc6295"/>
      <w:bookmarkStart w:id="1" w:name="_Toc20775"/>
      <w:bookmarkStart w:id="2" w:name="_Toc30338"/>
      <w:r>
        <w:rPr>
          <w:rFonts w:hint="eastAsia" w:ascii="黑体" w:hAnsi="黑体" w:cs="黑体"/>
          <w:color w:val="000000"/>
        </w:rPr>
        <w:t>激光耦合仿真系统及智能优化平台</w:t>
      </w:r>
      <w:bookmarkEnd w:id="0"/>
      <w:bookmarkEnd w:id="1"/>
      <w:r>
        <w:rPr>
          <w:rFonts w:hint="eastAsia" w:ascii="黑体" w:hAnsi="黑体" w:cs="黑体"/>
          <w:color w:val="000000"/>
        </w:rPr>
        <w:t>研究报告</w:t>
      </w:r>
    </w:p>
    <w:p w14:paraId="24156DB9">
      <w:pPr>
        <w:pStyle w:val="2"/>
        <w:spacing w:before="312" w:after="312"/>
        <w:jc w:val="center"/>
        <w:rPr>
          <w:rFonts w:hint="eastAsia" w:ascii="黑体" w:hAnsi="黑体" w:cs="黑体"/>
          <w:color w:val="000000"/>
        </w:rPr>
      </w:pPr>
    </w:p>
    <w:p w14:paraId="651F066E">
      <w:pPr>
        <w:sectPr>
          <w:pgSz w:w="11906" w:h="16838"/>
          <w:pgMar w:top="1417" w:right="1134" w:bottom="1417" w:left="1417" w:header="851" w:footer="992" w:gutter="0"/>
          <w:pgNumType w:fmt="upperRoman" w:start="1"/>
          <w:cols w:space="425" w:num="1"/>
          <w:docGrid w:type="lines" w:linePitch="312" w:charSpace="0"/>
        </w:sectPr>
      </w:pPr>
    </w:p>
    <w:p w14:paraId="72469AF3">
      <w:pPr>
        <w:pStyle w:val="2"/>
        <w:spacing w:before="312" w:after="312"/>
        <w:jc w:val="center"/>
        <w:rPr>
          <w:rFonts w:hint="eastAsia" w:ascii="黑体" w:hAnsi="黑体" w:cs="黑体"/>
        </w:rPr>
      </w:pPr>
      <w:r>
        <w:rPr>
          <w:rFonts w:hint="eastAsia" w:ascii="黑体" w:hAnsi="黑体" w:cs="黑体"/>
          <w:color w:val="000000"/>
        </w:rPr>
        <w:t>摘要</w:t>
      </w:r>
      <w:bookmarkEnd w:id="2"/>
    </w:p>
    <w:p w14:paraId="19B359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光纤耦合效率不仅取决于光束是否到达光纤端面，还取决于入射复光场与光纤目标模式在尺寸、位置、传播角度、波前曲率和相位分布等方面的匹配程度。针对复杂光学实验装调过程难开展、参数探索效率低、传统专业软件学习门槛高以及优化结果缺乏物理解释等问题，本研究设计并实现了激光耦合仿真系统及智能优化平台。</w:t>
      </w:r>
    </w:p>
    <w:p w14:paraId="1071322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 xml:space="preserve">平台以 </w:t>
      </w:r>
      <w:r>
        <w:rPr>
          <w:rFonts w:cs="Times New Roman"/>
          <w:color w:val="000000"/>
        </w:rPr>
        <w:t xml:space="preserve">Gaussian </w:t>
      </w:r>
      <w:r>
        <w:rPr>
          <w:rFonts w:ascii="宋体" w:hAnsi="宋体"/>
          <w:color w:val="000000"/>
        </w:rPr>
        <w:t xml:space="preserve">光束和 </w:t>
      </w:r>
      <w:r>
        <w:rPr>
          <w:rFonts w:cs="Times New Roman"/>
          <w:i/>
          <w:iCs/>
          <w:color w:val="000000"/>
        </w:rPr>
        <w:t xml:space="preserve">ABCD </w:t>
      </w:r>
      <w:r>
        <w:rPr>
          <w:rFonts w:ascii="宋体" w:hAnsi="宋体"/>
          <w:color w:val="000000"/>
        </w:rPr>
        <w:t xml:space="preserve">矩阵为解析基础，结合顺序几何光线追迹、公共出瞳面复场重建和角谱/Fresnel 数值传播，获得光纤端面的入射复场；同时构造 </w:t>
      </w:r>
      <w:r>
        <w:rPr>
          <w:rFonts w:cs="Times New Roman"/>
          <w:color w:val="000000"/>
        </w:rPr>
        <w:t>Gaussian、LP01、HE11</w:t>
      </w:r>
      <w:r>
        <w:rPr>
          <w:rFonts w:ascii="宋体" w:hAnsi="宋体"/>
          <w:color w:val="000000"/>
        </w:rPr>
        <w:t xml:space="preserve"> 等目标模场，通过归一化复场重叠积分计算模式耦合效率，并将模式耦合效率与系统总效率分开表征。在此基础上，针对固定镜组结构和可变镜组结构分别采用随机森林/</w:t>
      </w:r>
      <w:r>
        <w:rPr>
          <w:rFonts w:cs="Times New Roman"/>
          <w:color w:val="000000"/>
        </w:rPr>
        <w:t xml:space="preserve">XGBoost </w:t>
      </w:r>
      <w:r>
        <w:rPr>
          <w:rFonts w:ascii="宋体" w:hAnsi="宋体"/>
          <w:color w:val="000000"/>
        </w:rPr>
        <w:t xml:space="preserve">与 </w:t>
      </w:r>
      <w:r>
        <w:rPr>
          <w:rFonts w:cs="Times New Roman"/>
          <w:color w:val="000000"/>
        </w:rPr>
        <w:t xml:space="preserve">BiLSTM </w:t>
      </w:r>
      <w:r>
        <w:rPr>
          <w:rFonts w:ascii="宋体" w:hAnsi="宋体"/>
          <w:color w:val="000000"/>
        </w:rPr>
        <w:t>建立代理模型，结合贝叶斯优化、差分进化、</w:t>
      </w:r>
      <w:r>
        <w:rPr>
          <w:rFonts w:cs="Times New Roman"/>
          <w:color w:val="000000"/>
        </w:rPr>
        <w:t>Powell</w:t>
      </w:r>
      <w:r>
        <w:rPr>
          <w:rFonts w:ascii="宋体" w:hAnsi="宋体"/>
          <w:color w:val="000000"/>
        </w:rPr>
        <w:t xml:space="preserve"> 局部精调、硬约束筛选和正式物理仿真复核，形成从候选筛选到结果裁决的研究链路。进一步利用 SHAP 将参数贡献映射到尺寸失配、横向偏移、轴向离焦、角度倾斜和曲率失配等物理因素，使智能分析结果能够回到可解释的光学机理。</w:t>
      </w:r>
    </w:p>
    <w:p w14:paraId="619CA52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本研究形成了从可视化建模、正式仿真、参数研究、智能优化到结果解释和任务追溯的统一平台框架，可为多透镜—单模光纤耦合系统的方案设计、参数分析和实验前虚拟装调提供辅助。</w:t>
      </w:r>
    </w:p>
    <w:p w14:paraId="5177C2F8">
      <w:pPr>
        <w:keepNext w:val="0"/>
        <w:keepLines w:val="0"/>
        <w:pageBreakBefore w:val="0"/>
        <w:widowControl w:val="0"/>
        <w:kinsoku/>
        <w:wordWrap/>
        <w:overflowPunct/>
        <w:topLinePunct w:val="0"/>
        <w:autoSpaceDE/>
        <w:autoSpaceDN/>
        <w:bidi w:val="0"/>
        <w:adjustRightInd/>
        <w:snapToGrid/>
        <w:ind w:left="0" w:leftChars="0"/>
        <w:textAlignment w:val="auto"/>
      </w:pPr>
      <w:r>
        <w:rPr>
          <w:rFonts w:ascii="宋体" w:hAnsi="宋体"/>
          <w:b/>
          <w:bCs/>
          <w:color w:val="000000"/>
        </w:rPr>
        <w:t>关键词</w:t>
      </w:r>
      <w:r>
        <w:rPr>
          <w:rFonts w:ascii="宋体" w:hAnsi="宋体"/>
          <w:color w:val="000000"/>
        </w:rPr>
        <w:t>：激光耦合；复光场；模式重叠；</w:t>
      </w:r>
      <w:r>
        <w:rPr>
          <w:rFonts w:cs="Times New Roman"/>
          <w:i/>
          <w:iCs/>
          <w:color w:val="000000"/>
        </w:rPr>
        <w:t xml:space="preserve">ABCD </w:t>
      </w:r>
      <w:r>
        <w:rPr>
          <w:rFonts w:ascii="宋体" w:hAnsi="宋体"/>
          <w:color w:val="000000"/>
        </w:rPr>
        <w:t>矩阵；机器学习；</w:t>
      </w:r>
      <w:r>
        <w:rPr>
          <w:rFonts w:cs="Times New Roman"/>
          <w:color w:val="000000"/>
        </w:rPr>
        <w:t>SHAP</w:t>
      </w:r>
      <w:r>
        <w:rPr>
          <w:rFonts w:ascii="宋体" w:hAnsi="宋体"/>
          <w:color w:val="000000"/>
        </w:rPr>
        <w:t>；智能优化</w:t>
      </w:r>
    </w:p>
    <w:p w14:paraId="7A7F9814">
      <w:pPr>
        <w:pStyle w:val="2"/>
        <w:spacing w:before="312" w:after="312"/>
        <w:jc w:val="center"/>
        <w:rPr>
          <w:rFonts w:cs="Times New Roman"/>
        </w:rPr>
      </w:pPr>
      <w:r>
        <w:rPr>
          <w:rFonts w:hint="eastAsia"/>
        </w:rPr>
        <w:br w:type="page"/>
      </w:r>
      <w:bookmarkStart w:id="63" w:name="_GoBack"/>
      <w:bookmarkEnd w:id="63"/>
      <w:bookmarkStart w:id="3" w:name="_Toc8005"/>
      <w:bookmarkStart w:id="4" w:name="_Toc31532"/>
      <w:bookmarkStart w:id="5" w:name="_Toc13422"/>
      <w:r>
        <w:rPr>
          <w:rFonts w:eastAsia="宋体" w:cs="Times New Roman"/>
          <w:color w:val="000000"/>
        </w:rPr>
        <w:t>Abstract</w:t>
      </w:r>
      <w:bookmarkEnd w:id="3"/>
      <w:bookmarkEnd w:id="4"/>
      <w:bookmarkEnd w:id="5"/>
    </w:p>
    <w:p w14:paraId="0BFA3E5D">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Fiber-coupling efficiency depends on the matching between the incident complex field and the target fiber mode in size, position, propagation angle, wavefront curvature, and phase. To address the high cost of parameter exploration, the learning threshold of conventional optical software, and the limited interpretability of optimization results, this work develops a laser-coupling simulation system and intelligent optimization platform.</w:t>
      </w:r>
    </w:p>
    <w:p w14:paraId="1A373C72">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combines Gaussian-beam theory and ABCD matrices with sequential ray tracing, common-exit-plane complex-field reconstruction, and angular-spectrum or Fresnel propagation. Gaussian, LP01, and HE11 target modes are supported, and coupling efficiency is evaluated using normalized complex-field overlap. Random Forest/XGBoost models handle fixed optical structures, while BiLSTM represents variable optical-element sequences. Bayesian optimization, differential evolution, Powell refinement, hard constraints, formal resimulation, and SHAP-based physical diagnosis form a traceable workflow for candidate screening and parameter interpretation.</w:t>
      </w:r>
    </w:p>
    <w:p w14:paraId="54169FE7">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color w:val="000000"/>
        </w:rPr>
        <w:t>The platform connects visual modeling, formal simulation, parameter studies, intelligent optimization, physical diagnosis, and task traceability. It supports the design and analysis of multi-lens single-mode-fiber coupling systems and pre-experimental virtual alignment.</w:t>
      </w:r>
    </w:p>
    <w:p w14:paraId="03014D7E">
      <w:pPr>
        <w:keepNext w:val="0"/>
        <w:keepLines w:val="0"/>
        <w:pageBreakBefore w:val="0"/>
        <w:widowControl w:val="0"/>
        <w:kinsoku/>
        <w:wordWrap/>
        <w:overflowPunct/>
        <w:topLinePunct w:val="0"/>
        <w:autoSpaceDE/>
        <w:autoSpaceDN/>
        <w:bidi w:val="0"/>
        <w:adjustRightInd/>
        <w:snapToGrid/>
        <w:ind w:left="0" w:leftChars="0"/>
        <w:textAlignment w:val="auto"/>
        <w:rPr>
          <w:rFonts w:cs="Times New Roman"/>
        </w:rPr>
      </w:pPr>
      <w:r>
        <w:rPr>
          <w:rFonts w:cs="Times New Roman"/>
          <w:b/>
          <w:bCs/>
          <w:color w:val="000000"/>
        </w:rPr>
        <w:t>Keywords</w:t>
      </w:r>
      <w:r>
        <w:rPr>
          <w:rFonts w:cs="Times New Roman"/>
          <w:color w:val="000000"/>
        </w:rPr>
        <w:t>: laser coupling; complex field; mode overlap; ABCD matrix; machine learning; SHAP; intelligent optimization</w:t>
      </w:r>
    </w:p>
    <w:p w14:paraId="640695D1">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cs="Times New Roman"/>
        </w:rPr>
        <w:sectPr>
          <w:footerReference r:id="rId5" w:type="default"/>
          <w:pgSz w:w="11906" w:h="16838"/>
          <w:pgMar w:top="1417" w:right="1134" w:bottom="1417" w:left="1417" w:header="851" w:footer="992" w:gutter="0"/>
          <w:pgNumType w:fmt="upperRoman" w:start="1"/>
          <w:cols w:space="425" w:num="1"/>
          <w:docGrid w:type="lines" w:linePitch="312" w:charSpace="0"/>
        </w:sectPr>
      </w:pPr>
    </w:p>
    <w:sdt>
      <w:sdtPr>
        <w:rPr>
          <w:rFonts w:eastAsia="宋体"/>
          <w:b w:val="0"/>
          <w:kern w:val="2"/>
          <w:sz w:val="24"/>
        </w:rPr>
        <w:id w:val="147458934"/>
        <w15:color w:val="DBDBDB"/>
        <w:docPartObj>
          <w:docPartGallery w:val="Table of Contents"/>
          <w:docPartUnique/>
        </w:docPartObj>
      </w:sdtPr>
      <w:sdtEndPr>
        <w:rPr>
          <w:rFonts w:eastAsia="宋体"/>
          <w:b w:val="0"/>
          <w:kern w:val="2"/>
          <w:sz w:val="24"/>
        </w:rPr>
      </w:sdtEndPr>
      <w:sdtContent>
        <w:p w14:paraId="6BAE51DC">
          <w:pPr>
            <w:pStyle w:val="2"/>
            <w:spacing w:before="312" w:after="312"/>
            <w:jc w:val="center"/>
          </w:pPr>
          <w:r>
            <w:t>目录</w:t>
          </w:r>
        </w:p>
        <w:p w14:paraId="19875B1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rPr>
              <w:rFonts w:eastAsia="宋体"/>
              <w:sz w:val="24"/>
            </w:rPr>
            <w:fldChar w:fldCharType="begin"/>
          </w:r>
          <w:r>
            <w:rPr>
              <w:rFonts w:eastAsia="宋体"/>
              <w:sz w:val="24"/>
            </w:rPr>
            <w:instrText xml:space="preserve">TOC \o "1-3" \h \u </w:instrText>
          </w:r>
          <w:r>
            <w:rPr>
              <w:rFonts w:eastAsia="宋体"/>
              <w:sz w:val="24"/>
            </w:rPr>
            <w:fldChar w:fldCharType="separate"/>
          </w:r>
          <w:r>
            <w:fldChar w:fldCharType="begin"/>
          </w:r>
          <w:r>
            <w:instrText xml:space="preserve"> HYPERLINK \l "_Toc30338" </w:instrText>
          </w:r>
          <w:r>
            <w:fldChar w:fldCharType="separate"/>
          </w:r>
          <w:r>
            <w:rPr>
              <w:rFonts w:hint="eastAsia" w:eastAsia="宋体" w:cs="黑体"/>
              <w:sz w:val="24"/>
            </w:rPr>
            <w:t>摘要</w:t>
          </w:r>
          <w:r>
            <w:rPr>
              <w:rFonts w:eastAsia="宋体"/>
              <w:sz w:val="24"/>
            </w:rPr>
            <w:tab/>
          </w:r>
          <w:r>
            <w:rPr>
              <w:rFonts w:eastAsia="宋体"/>
              <w:sz w:val="24"/>
            </w:rPr>
            <w:fldChar w:fldCharType="begin"/>
          </w:r>
          <w:r>
            <w:rPr>
              <w:rFonts w:eastAsia="宋体"/>
              <w:sz w:val="24"/>
            </w:rPr>
            <w:instrText xml:space="preserve"> PAGEREF _Toc30338 \h </w:instrText>
          </w:r>
          <w:r>
            <w:rPr>
              <w:rFonts w:eastAsia="宋体"/>
              <w:sz w:val="24"/>
            </w:rPr>
            <w:fldChar w:fldCharType="separate"/>
          </w:r>
          <w:r>
            <w:rPr>
              <w:rFonts w:eastAsia="宋体"/>
              <w:sz w:val="24"/>
            </w:rPr>
            <w:t>I</w:t>
          </w:r>
          <w:r>
            <w:rPr>
              <w:rFonts w:eastAsia="宋体"/>
              <w:sz w:val="24"/>
            </w:rPr>
            <w:fldChar w:fldCharType="end"/>
          </w:r>
          <w:r>
            <w:rPr>
              <w:rFonts w:eastAsia="宋体"/>
              <w:sz w:val="24"/>
            </w:rPr>
            <w:fldChar w:fldCharType="end"/>
          </w:r>
        </w:p>
        <w:p w14:paraId="78BE1FB3">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"_Toc31532" </w:instrText>
          </w:r>
          <w:r>
            <w:fldChar w:fldCharType="separate"/>
          </w:r>
          <w:r>
            <w:rPr>
              <w:rFonts w:eastAsia="宋体" w:cs="Times New Roman"/>
              <w:sz w:val="24"/>
            </w:rPr>
            <w:t>Abstract</w:t>
          </w:r>
          <w:r>
            <w:rPr>
              <w:rFonts w:eastAsia="宋体"/>
              <w:sz w:val="24"/>
            </w:rPr>
            <w:tab/>
          </w:r>
          <w:r>
            <w:rPr>
              <w:rFonts w:eastAsia="宋体"/>
              <w:sz w:val="24"/>
            </w:rPr>
            <w:fldChar w:fldCharType="begin"/>
          </w:r>
          <w:r>
            <w:rPr>
              <w:rFonts w:eastAsia="宋体"/>
              <w:sz w:val="24"/>
            </w:rPr>
            <w:instrText xml:space="preserve"> PAGEREF _Toc31532 \h </w:instrText>
          </w:r>
          <w:r>
            <w:rPr>
              <w:rFonts w:eastAsia="宋体"/>
              <w:sz w:val="24"/>
            </w:rPr>
            <w:fldChar w:fldCharType="separate"/>
          </w:r>
          <w:r>
            <w:rPr>
              <w:rFonts w:eastAsia="宋体"/>
              <w:sz w:val="24"/>
            </w:rPr>
            <w:t>II</w:t>
          </w:r>
          <w:r>
            <w:rPr>
              <w:rFonts w:eastAsia="宋体"/>
              <w:sz w:val="24"/>
            </w:rPr>
            <w:fldChar w:fldCharType="end"/>
          </w:r>
          <w:r>
            <w:rPr>
              <w:rFonts w:eastAsia="宋体"/>
              <w:sz w:val="24"/>
            </w:rPr>
            <w:fldChar w:fldCharType="end"/>
          </w:r>
        </w:p>
        <w:p w14:paraId="30D305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"_Toc18780" </w:instrText>
          </w:r>
          <w:r>
            <w:fldChar w:fldCharType="separate"/>
          </w:r>
          <w:r>
            <w:rPr>
              <w:rFonts w:hint="eastAsia" w:eastAsia="宋体" w:cs="黑体"/>
              <w:sz w:val="24"/>
            </w:rPr>
            <w:t>1引言</w:t>
          </w:r>
          <w:r>
            <w:rPr>
              <w:rFonts w:eastAsia="宋体"/>
              <w:sz w:val="24"/>
            </w:rPr>
            <w:tab/>
          </w:r>
          <w:r>
            <w:rPr>
              <w:rFonts w:eastAsia="宋体"/>
              <w:sz w:val="24"/>
            </w:rPr>
            <w:fldChar w:fldCharType="begin"/>
          </w:r>
          <w:r>
            <w:rPr>
              <w:rFonts w:eastAsia="宋体"/>
              <w:sz w:val="24"/>
            </w:rPr>
            <w:instrText xml:space="preserve"> PAGEREF _Toc18780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2A87A3F2">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"_Toc13712" </w:instrText>
          </w:r>
          <w:r>
            <w:fldChar w:fldCharType="separate"/>
          </w:r>
          <w:r>
            <w:rPr>
              <w:rFonts w:hint="eastAsia"/>
            </w:rPr>
            <w:t>1.1选题意义</w:t>
          </w:r>
          <w:r>
            <w:tab/>
          </w:r>
          <w:r>
            <w:fldChar w:fldCharType="begin"/>
          </w:r>
          <w:r>
            <w:instrText xml:space="preserve"> PAGEREF _Toc13712 \h </w:instrText>
          </w:r>
          <w:r>
            <w:fldChar w:fldCharType="separate"/>
          </w:r>
          <w:r>
            <w:t>1</w:t>
          </w:r>
          <w:r>
            <w:fldChar w:fldCharType="end"/>
          </w:r>
          <w:r>
            <w:fldChar w:fldCharType="end"/>
          </w:r>
        </w:p>
        <w:p w14:paraId="30A952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"_Toc26796" </w:instrText>
          </w:r>
          <w:r>
            <w:fldChar w:fldCharType="separate"/>
          </w:r>
          <w:r>
            <w:rPr>
              <w:rFonts w:hint="eastAsia"/>
            </w:rPr>
            <w:t>1.2目标定位</w:t>
          </w:r>
          <w:r>
            <w:tab/>
          </w:r>
          <w:r>
            <w:fldChar w:fldCharType="begin"/>
          </w:r>
          <w:r>
            <w:instrText xml:space="preserve"> PAGEREF _Toc26796 \h </w:instrText>
          </w:r>
          <w:r>
            <w:fldChar w:fldCharType="separate"/>
          </w:r>
          <w:r>
            <w:t>1</w:t>
          </w:r>
          <w:r>
            <w:fldChar w:fldCharType="end"/>
          </w:r>
          <w:r>
            <w:fldChar w:fldCharType="end"/>
          </w:r>
        </w:p>
        <w:p w14:paraId="6AD1E589">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"_Toc21853" </w:instrText>
          </w:r>
          <w:r>
            <w:fldChar w:fldCharType="separate"/>
          </w:r>
          <w:r>
            <w:rPr>
              <w:rFonts w:hint="eastAsia" w:eastAsia="宋体"/>
              <w:sz w:val="24"/>
            </w:rPr>
            <w:t>2物理模型与理论研究</w:t>
          </w:r>
          <w:r>
            <w:rPr>
              <w:rFonts w:eastAsia="宋体"/>
              <w:sz w:val="24"/>
            </w:rPr>
            <w:tab/>
          </w:r>
          <w:r>
            <w:rPr>
              <w:rFonts w:eastAsia="宋体"/>
              <w:sz w:val="24"/>
            </w:rPr>
            <w:fldChar w:fldCharType="begin"/>
          </w:r>
          <w:r>
            <w:rPr>
              <w:rFonts w:eastAsia="宋体"/>
              <w:sz w:val="24"/>
            </w:rPr>
            <w:instrText xml:space="preserve"> PAGEREF _Toc21853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115F969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"_Toc30129" </w:instrText>
          </w:r>
          <w:r>
            <w:fldChar w:fldCharType="separate"/>
          </w:r>
          <w:r>
            <w:rPr>
              <w:rFonts w:hint="eastAsia"/>
            </w:rPr>
            <w:t>2.1激光耦合光路研究</w:t>
          </w:r>
          <w:r>
            <w:tab/>
          </w:r>
          <w:r>
            <w:fldChar w:fldCharType="begin"/>
          </w:r>
          <w:r>
            <w:instrText xml:space="preserve"> PAGEREF _Toc30129 \h </w:instrText>
          </w:r>
          <w:r>
            <w:fldChar w:fldCharType="separate"/>
          </w:r>
          <w:r>
            <w:t>4</w:t>
          </w:r>
          <w:r>
            <w:fldChar w:fldCharType="end"/>
          </w:r>
          <w:r>
            <w:fldChar w:fldCharType="end"/>
          </w:r>
        </w:p>
        <w:p w14:paraId="1B2095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"_Toc14387" </w:instrText>
          </w:r>
          <w:r>
            <w:fldChar w:fldCharType="separate"/>
          </w:r>
          <w:r>
            <w:rPr>
              <w:rFonts w:hint="eastAsia"/>
            </w:rPr>
            <w:t>2.2 Gaussian光源</w:t>
          </w:r>
          <w:r>
            <w:tab/>
          </w:r>
          <w:r>
            <w:fldChar w:fldCharType="begin"/>
          </w:r>
          <w:r>
            <w:instrText xml:space="preserve"> PAGEREF _Toc14387 \h </w:instrText>
          </w:r>
          <w:r>
            <w:fldChar w:fldCharType="separate"/>
          </w:r>
          <w:r>
            <w:t>4</w:t>
          </w:r>
          <w:r>
            <w:fldChar w:fldCharType="end"/>
          </w:r>
          <w:r>
            <w:fldChar w:fldCharType="end"/>
          </w:r>
        </w:p>
        <w:p w14:paraId="4C13C190">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"_Toc16929" </w:instrText>
          </w:r>
          <w:r>
            <w:fldChar w:fldCharType="separate"/>
          </w:r>
          <w:r>
            <w:rPr>
              <w:rFonts w:hint="eastAsia"/>
            </w:rPr>
            <w:t>2.3近轴光束理论</w:t>
          </w:r>
          <w:r>
            <w:tab/>
          </w:r>
          <w:r>
            <w:fldChar w:fldCharType="begin"/>
          </w:r>
          <w:r>
            <w:instrText xml:space="preserve"> PAGEREF _Toc16929 \h </w:instrText>
          </w:r>
          <w:r>
            <w:fldChar w:fldCharType="separate"/>
          </w:r>
          <w:r>
            <w:t>5</w:t>
          </w:r>
          <w:r>
            <w:fldChar w:fldCharType="end"/>
          </w:r>
          <w:r>
            <w:fldChar w:fldCharType="end"/>
          </w:r>
        </w:p>
        <w:p w14:paraId="2CF59365">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"_Toc15399" </w:instrText>
          </w:r>
          <w:r>
            <w:fldChar w:fldCharType="separate"/>
          </w:r>
          <w:r>
            <w:rPr>
              <w:rFonts w:hint="eastAsia"/>
            </w:rPr>
            <w:t>2.4 ABCD矩阵与近轴光束传输</w:t>
          </w:r>
          <w:r>
            <w:tab/>
          </w:r>
          <w:r>
            <w:fldChar w:fldCharType="begin"/>
          </w:r>
          <w:r>
            <w:instrText xml:space="preserve"> PAGEREF _Toc15399 \h </w:instrText>
          </w:r>
          <w:r>
            <w:fldChar w:fldCharType="separate"/>
          </w:r>
          <w:r>
            <w:t>6</w:t>
          </w:r>
          <w:r>
            <w:fldChar w:fldCharType="end"/>
          </w:r>
          <w:r>
            <w:fldChar w:fldCharType="end"/>
          </w:r>
        </w:p>
        <w:p w14:paraId="64245A9D">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"_Toc8725" </w:instrText>
          </w:r>
          <w:r>
            <w:fldChar w:fldCharType="separate"/>
          </w:r>
          <w:r>
            <w:rPr>
              <w:rFonts w:hint="eastAsia"/>
            </w:rPr>
            <w:t>2.5出瞳面复场重建</w:t>
          </w:r>
          <w:r>
            <w:tab/>
          </w:r>
          <w:r>
            <w:fldChar w:fldCharType="begin"/>
          </w:r>
          <w:r>
            <w:instrText xml:space="preserve"> PAGEREF _Toc8725 \h </w:instrText>
          </w:r>
          <w:r>
            <w:fldChar w:fldCharType="separate"/>
          </w:r>
          <w:r>
            <w:t>6</w:t>
          </w:r>
          <w:r>
            <w:fldChar w:fldCharType="end"/>
          </w:r>
          <w:r>
            <w:fldChar w:fldCharType="end"/>
          </w:r>
        </w:p>
        <w:p w14:paraId="61B5197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"_Toc25083" </w:instrText>
          </w:r>
          <w:r>
            <w:fldChar w:fldCharType="separate"/>
          </w:r>
          <w:r>
            <w:rPr>
              <w:rFonts w:hint="eastAsia"/>
            </w:rPr>
            <w:t>2.6耦合效率计算</w:t>
          </w:r>
          <w:r>
            <w:tab/>
          </w:r>
          <w:r>
            <w:fldChar w:fldCharType="begin"/>
          </w:r>
          <w:r>
            <w:instrText xml:space="preserve"> PAGEREF _Toc25083 \h </w:instrText>
          </w:r>
          <w:r>
            <w:fldChar w:fldCharType="separate"/>
          </w:r>
          <w:r>
            <w:t>7</w:t>
          </w:r>
          <w:r>
            <w:fldChar w:fldCharType="end"/>
          </w:r>
          <w:r>
            <w:fldChar w:fldCharType="end"/>
          </w:r>
        </w:p>
        <w:p w14:paraId="7B9EE1A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"_Toc17447" </w:instrText>
          </w:r>
          <w:r>
            <w:fldChar w:fldCharType="separate"/>
          </w:r>
          <w:r>
            <w:rPr>
              <w:rFonts w:hint="eastAsia"/>
            </w:rPr>
            <w:t>2.7仿真算法</w:t>
          </w:r>
          <w:r>
            <w:tab/>
          </w:r>
          <w:r>
            <w:fldChar w:fldCharType="begin"/>
          </w:r>
          <w:r>
            <w:instrText xml:space="preserve"> PAGEREF _Toc17447 \h </w:instrText>
          </w:r>
          <w:r>
            <w:fldChar w:fldCharType="separate"/>
          </w:r>
          <w:r>
            <w:t>7</w:t>
          </w:r>
          <w:r>
            <w:fldChar w:fldCharType="end"/>
          </w:r>
          <w:r>
            <w:fldChar w:fldCharType="end"/>
          </w:r>
        </w:p>
        <w:p w14:paraId="1944252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"_Toc4925" </w:instrText>
          </w:r>
          <w:r>
            <w:fldChar w:fldCharType="separate"/>
          </w:r>
          <w:r>
            <w:rPr>
              <w:rFonts w:hint="eastAsia"/>
            </w:rPr>
            <w:t>2.7.1入射光数值衍射传播</w:t>
          </w:r>
          <w:r>
            <w:tab/>
          </w:r>
          <w:r>
            <w:fldChar w:fldCharType="begin"/>
          </w:r>
          <w:r>
            <w:instrText xml:space="preserve"> PAGEREF _Toc4925 \h </w:instrText>
          </w:r>
          <w:r>
            <w:fldChar w:fldCharType="separate"/>
          </w:r>
          <w:r>
            <w:t>7</w:t>
          </w:r>
          <w:r>
            <w:fldChar w:fldCharType="end"/>
          </w:r>
          <w:r>
            <w:fldChar w:fldCharType="end"/>
          </w:r>
        </w:p>
        <w:p w14:paraId="66512BE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"_Toc29599" </w:instrText>
          </w:r>
          <w:r>
            <w:fldChar w:fldCharType="separate"/>
          </w:r>
          <w:r>
            <w:rPr>
              <w:rFonts w:hint="eastAsia"/>
            </w:rPr>
            <w:t>2.7.2光纤模场构造</w:t>
          </w:r>
          <w:r>
            <w:tab/>
          </w:r>
          <w:r>
            <w:fldChar w:fldCharType="begin"/>
          </w:r>
          <w:r>
            <w:instrText xml:space="preserve"> PAGEREF _Toc29599 \h </w:instrText>
          </w:r>
          <w:r>
            <w:fldChar w:fldCharType="separate"/>
          </w:r>
          <w:r>
            <w:t>8</w:t>
          </w:r>
          <w:r>
            <w:fldChar w:fldCharType="end"/>
          </w:r>
          <w:r>
            <w:fldChar w:fldCharType="end"/>
          </w:r>
        </w:p>
        <w:p w14:paraId="530DBF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"_Toc7737" </w:instrText>
          </w:r>
          <w:r>
            <w:fldChar w:fldCharType="separate"/>
          </w:r>
          <w:r>
            <w:rPr>
              <w:rFonts w:hint="eastAsia"/>
            </w:rPr>
            <w:t>2.8 四透镜系统研究</w:t>
          </w:r>
          <w:r>
            <w:tab/>
          </w:r>
          <w:r>
            <w:fldChar w:fldCharType="begin"/>
          </w:r>
          <w:r>
            <w:instrText xml:space="preserve"> PAGEREF _Toc7737 \h </w:instrText>
          </w:r>
          <w:r>
            <w:fldChar w:fldCharType="separate"/>
          </w:r>
          <w:r>
            <w:t>9</w:t>
          </w:r>
          <w:r>
            <w:fldChar w:fldCharType="end"/>
          </w:r>
          <w:r>
            <w:fldChar w:fldCharType="end"/>
          </w:r>
        </w:p>
        <w:p w14:paraId="5188580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"_Toc23837" </w:instrText>
          </w:r>
          <w:r>
            <w:fldChar w:fldCharType="separate"/>
          </w:r>
          <w:r>
            <w:rPr>
              <w:rFonts w:hint="eastAsia"/>
            </w:rPr>
            <w:t>2.8.1光路研究</w:t>
          </w:r>
          <w:r>
            <w:tab/>
          </w:r>
          <w:r>
            <w:fldChar w:fldCharType="begin"/>
          </w:r>
          <w:r>
            <w:instrText xml:space="preserve"> PAGEREF _Toc23837 \h </w:instrText>
          </w:r>
          <w:r>
            <w:fldChar w:fldCharType="separate"/>
          </w:r>
          <w:r>
            <w:t>9</w:t>
          </w:r>
          <w:r>
            <w:fldChar w:fldCharType="end"/>
          </w:r>
          <w:r>
            <w:fldChar w:fldCharType="end"/>
          </w:r>
        </w:p>
        <w:p w14:paraId="76A63DEA">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"_Toc16013" </w:instrText>
          </w:r>
          <w:r>
            <w:fldChar w:fldCharType="separate"/>
          </w:r>
          <w:r>
            <w:rPr>
              <w:rFonts w:hint="eastAsia"/>
            </w:rPr>
            <w:t>2.8.2物理解释</w:t>
          </w:r>
          <w:r>
            <w:tab/>
          </w:r>
          <w:r>
            <w:fldChar w:fldCharType="begin"/>
          </w:r>
          <w:r>
            <w:instrText xml:space="preserve"> PAGEREF _Toc16013 \h </w:instrText>
          </w:r>
          <w:r>
            <w:fldChar w:fldCharType="separate"/>
          </w:r>
          <w:r>
            <w:t>9</w:t>
          </w:r>
          <w:r>
            <w:fldChar w:fldCharType="end"/>
          </w:r>
          <w:r>
            <w:fldChar w:fldCharType="end"/>
          </w:r>
        </w:p>
        <w:p w14:paraId="62A2226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"_Toc29011" </w:instrText>
          </w:r>
          <w:r>
            <w:fldChar w:fldCharType="separate"/>
          </w:r>
          <w:r>
            <w:rPr>
              <w:rFonts w:hint="eastAsia" w:eastAsia="宋体"/>
              <w:sz w:val="24"/>
            </w:rPr>
            <w:t>3机器学习与寻优算法</w:t>
          </w:r>
          <w:r>
            <w:rPr>
              <w:rFonts w:eastAsia="宋体"/>
              <w:sz w:val="24"/>
            </w:rPr>
            <w:tab/>
          </w:r>
          <w:r>
            <w:rPr>
              <w:rFonts w:eastAsia="宋体"/>
              <w:sz w:val="24"/>
            </w:rPr>
            <w:fldChar w:fldCharType="begin"/>
          </w:r>
          <w:r>
            <w:rPr>
              <w:rFonts w:eastAsia="宋体"/>
              <w:sz w:val="24"/>
            </w:rPr>
            <w:instrText xml:space="preserve"> PAGEREF _Toc29011 \h </w:instrText>
          </w:r>
          <w:r>
            <w:rPr>
              <w:rFonts w:eastAsia="宋体"/>
              <w:sz w:val="24"/>
            </w:rPr>
            <w:fldChar w:fldCharType="separate"/>
          </w:r>
          <w:r>
            <w:rPr>
              <w:rFonts w:eastAsia="宋体"/>
              <w:sz w:val="24"/>
            </w:rPr>
            <w:t>11</w:t>
          </w:r>
          <w:r>
            <w:rPr>
              <w:rFonts w:eastAsia="宋体"/>
              <w:sz w:val="24"/>
            </w:rPr>
            <w:fldChar w:fldCharType="end"/>
          </w:r>
          <w:r>
            <w:rPr>
              <w:rFonts w:eastAsia="宋体"/>
              <w:sz w:val="24"/>
            </w:rPr>
            <w:fldChar w:fldCharType="end"/>
          </w:r>
        </w:p>
        <w:p w14:paraId="010DE47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"_Toc32621" </w:instrText>
          </w:r>
          <w:r>
            <w:fldChar w:fldCharType="separate"/>
          </w:r>
          <w:r>
            <w:rPr>
              <w:rFonts w:hint="eastAsia"/>
            </w:rPr>
            <w:t>3.1整体设计理念</w:t>
          </w:r>
          <w:r>
            <w:tab/>
          </w:r>
          <w:r>
            <w:fldChar w:fldCharType="begin"/>
          </w:r>
          <w:r>
            <w:instrText xml:space="preserve"> PAGEREF _Toc32621 \h </w:instrText>
          </w:r>
          <w:r>
            <w:fldChar w:fldCharType="separate"/>
          </w:r>
          <w:r>
            <w:t>11</w:t>
          </w:r>
          <w:r>
            <w:fldChar w:fldCharType="end"/>
          </w:r>
          <w:r>
            <w:fldChar w:fldCharType="end"/>
          </w:r>
        </w:p>
        <w:p w14:paraId="0D0375E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"_Toc7886" </w:instrText>
          </w:r>
          <w:r>
            <w:fldChar w:fldCharType="separate"/>
          </w:r>
          <w:r>
            <w:rPr>
              <w:rFonts w:hint="eastAsia"/>
            </w:rPr>
            <w:t>3.2 BiLSTM</w:t>
          </w:r>
          <w:r>
            <w:tab/>
          </w:r>
          <w:r>
            <w:fldChar w:fldCharType="begin"/>
          </w:r>
          <w:r>
            <w:instrText xml:space="preserve"> PAGEREF _Toc7886 \h </w:instrText>
          </w:r>
          <w:r>
            <w:fldChar w:fldCharType="separate"/>
          </w:r>
          <w:r>
            <w:t>12</w:t>
          </w:r>
          <w:r>
            <w:fldChar w:fldCharType="end"/>
          </w:r>
          <w:r>
            <w:fldChar w:fldCharType="end"/>
          </w:r>
        </w:p>
        <w:p w14:paraId="58CF5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"_Toc27851" </w:instrText>
          </w:r>
          <w:r>
            <w:fldChar w:fldCharType="separate"/>
          </w:r>
          <w:r>
            <w:rPr>
              <w:rFonts w:hint="eastAsia"/>
            </w:rPr>
            <w:t>3.2.1 BiLSTM原理</w:t>
          </w:r>
          <w:r>
            <w:tab/>
          </w:r>
          <w:r>
            <w:fldChar w:fldCharType="begin"/>
          </w:r>
          <w:r>
            <w:instrText xml:space="preserve"> PAGEREF _Toc27851 \h </w:instrText>
          </w:r>
          <w:r>
            <w:fldChar w:fldCharType="separate"/>
          </w:r>
          <w:r>
            <w:t>12</w:t>
          </w:r>
          <w:r>
            <w:fldChar w:fldCharType="end"/>
          </w:r>
          <w:r>
            <w:fldChar w:fldCharType="end"/>
          </w:r>
        </w:p>
        <w:p w14:paraId="2572632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"_Toc8936" </w:instrText>
          </w:r>
          <w:r>
            <w:fldChar w:fldCharType="separate"/>
          </w:r>
          <w:r>
            <w:rPr>
              <w:rFonts w:hint="eastAsia"/>
            </w:rPr>
            <w:t>3.2.2 光学结构序列表示</w:t>
          </w:r>
          <w:r>
            <w:tab/>
          </w:r>
          <w:r>
            <w:fldChar w:fldCharType="begin"/>
          </w:r>
          <w:r>
            <w:instrText xml:space="preserve"> PAGEREF _Toc8936 \h </w:instrText>
          </w:r>
          <w:r>
            <w:fldChar w:fldCharType="separate"/>
          </w:r>
          <w:r>
            <w:t>13</w:t>
          </w:r>
          <w:r>
            <w:fldChar w:fldCharType="end"/>
          </w:r>
          <w:r>
            <w:fldChar w:fldCharType="end"/>
          </w:r>
        </w:p>
        <w:p w14:paraId="3052783B">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"_Toc29442" </w:instrText>
          </w:r>
          <w:r>
            <w:fldChar w:fldCharType="separate"/>
          </w:r>
          <w:r>
            <w:rPr>
              <w:rFonts w:hint="eastAsia"/>
            </w:rPr>
            <w:t>3.3 随机森林与XGBoost</w:t>
          </w:r>
          <w:r>
            <w:tab/>
          </w:r>
          <w:r>
            <w:fldChar w:fldCharType="begin"/>
          </w:r>
          <w:r>
            <w:instrText xml:space="preserve"> PAGEREF _Toc29442 \h </w:instrText>
          </w:r>
          <w:r>
            <w:fldChar w:fldCharType="separate"/>
          </w:r>
          <w:r>
            <w:t>13</w:t>
          </w:r>
          <w:r>
            <w:fldChar w:fldCharType="end"/>
          </w:r>
          <w:r>
            <w:fldChar w:fldCharType="end"/>
          </w:r>
        </w:p>
        <w:p w14:paraId="66DB3796">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"_Toc29520" </w:instrText>
          </w:r>
          <w:r>
            <w:fldChar w:fldCharType="separate"/>
          </w:r>
          <w:r>
            <w:rPr>
              <w:rFonts w:hint="eastAsia"/>
            </w:rPr>
            <w:t>3.3.1随机森林与XGBoost原理</w:t>
          </w:r>
          <w:r>
            <w:tab/>
          </w:r>
          <w:r>
            <w:fldChar w:fldCharType="begin"/>
          </w:r>
          <w:r>
            <w:instrText xml:space="preserve"> PAGEREF _Toc29520 \h </w:instrText>
          </w:r>
          <w:r>
            <w:fldChar w:fldCharType="separate"/>
          </w:r>
          <w:r>
            <w:t>13</w:t>
          </w:r>
          <w:r>
            <w:fldChar w:fldCharType="end"/>
          </w:r>
          <w:r>
            <w:fldChar w:fldCharType="end"/>
          </w:r>
        </w:p>
        <w:p w14:paraId="02F072A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"_Toc2241" </w:instrText>
          </w:r>
          <w:r>
            <w:fldChar w:fldCharType="separate"/>
          </w:r>
          <w:r>
            <w:t>3.3.2 物理融合</w:t>
          </w:r>
          <w:r>
            <w:tab/>
          </w:r>
          <w:r>
            <w:fldChar w:fldCharType="begin"/>
          </w:r>
          <w:r>
            <w:instrText xml:space="preserve"> PAGEREF _Toc2241 \h </w:instrText>
          </w:r>
          <w:r>
            <w:fldChar w:fldCharType="separate"/>
          </w:r>
          <w:r>
            <w:t>16</w:t>
          </w:r>
          <w:r>
            <w:fldChar w:fldCharType="end"/>
          </w:r>
          <w:r>
            <w:fldChar w:fldCharType="end"/>
          </w:r>
        </w:p>
        <w:p w14:paraId="5D6A24A3">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"_Toc3279" </w:instrText>
          </w:r>
          <w:r>
            <w:fldChar w:fldCharType="separate"/>
          </w:r>
          <w:r>
            <w:rPr>
              <w:rFonts w:hint="eastAsia"/>
            </w:rPr>
            <w:t>3.4寻优算法</w:t>
          </w:r>
          <w:r>
            <w:tab/>
          </w:r>
          <w:r>
            <w:fldChar w:fldCharType="begin"/>
          </w:r>
          <w:r>
            <w:instrText xml:space="preserve"> PAGEREF _Toc3279 \h </w:instrText>
          </w:r>
          <w:r>
            <w:fldChar w:fldCharType="separate"/>
          </w:r>
          <w:r>
            <w:t>17</w:t>
          </w:r>
          <w:r>
            <w:fldChar w:fldCharType="end"/>
          </w:r>
          <w:r>
            <w:fldChar w:fldCharType="end"/>
          </w:r>
        </w:p>
        <w:p w14:paraId="4C0C6A1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"_Toc23865" </w:instrText>
          </w:r>
          <w:r>
            <w:fldChar w:fldCharType="separate"/>
          </w:r>
          <w:r>
            <w:rPr>
              <w:rFonts w:hint="eastAsia"/>
            </w:rPr>
            <w:t>3.4.1贝叶斯优化和差分进化算法原理</w:t>
          </w:r>
          <w:r>
            <w:tab/>
          </w:r>
          <w:r>
            <w:fldChar w:fldCharType="begin"/>
          </w:r>
          <w:r>
            <w:instrText xml:space="preserve"> PAGEREF _Toc23865 \h </w:instrText>
          </w:r>
          <w:r>
            <w:fldChar w:fldCharType="separate"/>
          </w:r>
          <w:r>
            <w:t>17</w:t>
          </w:r>
          <w:r>
            <w:fldChar w:fldCharType="end"/>
          </w:r>
          <w:r>
            <w:fldChar w:fldCharType="end"/>
          </w:r>
        </w:p>
        <w:p w14:paraId="134FD6C5">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"_Toc6445" </w:instrText>
          </w:r>
          <w:r>
            <w:fldChar w:fldCharType="separate"/>
          </w:r>
          <w:r>
            <w:rPr>
              <w:rFonts w:hint="eastAsia"/>
            </w:rPr>
            <w:t>3.4.2 Powell优化算法</w:t>
          </w:r>
          <w:r>
            <w:tab/>
          </w:r>
          <w:r>
            <w:fldChar w:fldCharType="begin"/>
          </w:r>
          <w:r>
            <w:instrText xml:space="preserve"> PAGEREF _Toc6445 \h </w:instrText>
          </w:r>
          <w:r>
            <w:fldChar w:fldCharType="separate"/>
          </w:r>
          <w:r>
            <w:t>19</w:t>
          </w:r>
          <w:r>
            <w:fldChar w:fldCharType="end"/>
          </w:r>
          <w:r>
            <w:fldChar w:fldCharType="end"/>
          </w:r>
        </w:p>
        <w:p w14:paraId="78EEFD2F">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"_Toc21734" </w:instrText>
          </w:r>
          <w:r>
            <w:fldChar w:fldCharType="separate"/>
          </w:r>
          <w:r>
            <w:rPr>
              <w:rFonts w:hint="eastAsia"/>
            </w:rPr>
            <w:t>3.5 SHAP</w:t>
          </w:r>
          <w:r>
            <w:tab/>
          </w:r>
          <w:r>
            <w:fldChar w:fldCharType="begin"/>
          </w:r>
          <w:r>
            <w:instrText xml:space="preserve"> PAGEREF _Toc21734 \h </w:instrText>
          </w:r>
          <w:r>
            <w:fldChar w:fldCharType="separate"/>
          </w:r>
          <w:r>
            <w:t>20</w:t>
          </w:r>
          <w:r>
            <w:fldChar w:fldCharType="end"/>
          </w:r>
          <w:r>
            <w:fldChar w:fldCharType="end"/>
          </w:r>
        </w:p>
        <w:p w14:paraId="0373E81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"_Toc11632" </w:instrText>
          </w:r>
          <w:r>
            <w:fldChar w:fldCharType="separate"/>
          </w:r>
          <w:r>
            <w:rPr>
              <w:rFonts w:hint="eastAsia"/>
            </w:rPr>
            <w:t>3.5.1 SHAP原理</w:t>
          </w:r>
          <w:r>
            <w:tab/>
          </w:r>
          <w:r>
            <w:fldChar w:fldCharType="begin"/>
          </w:r>
          <w:r>
            <w:instrText xml:space="preserve"> PAGEREF _Toc11632 \h </w:instrText>
          </w:r>
          <w:r>
            <w:fldChar w:fldCharType="separate"/>
          </w:r>
          <w:r>
            <w:t>20</w:t>
          </w:r>
          <w:r>
            <w:fldChar w:fldCharType="end"/>
          </w:r>
          <w:r>
            <w:fldChar w:fldCharType="end"/>
          </w:r>
        </w:p>
        <w:p w14:paraId="109A8E8C">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"_Toc10945" </w:instrText>
          </w:r>
          <w:r>
            <w:fldChar w:fldCharType="separate"/>
          </w:r>
          <w:r>
            <w:rPr>
              <w:rFonts w:hint="eastAsia" w:eastAsia="宋体"/>
              <w:sz w:val="24"/>
            </w:rPr>
            <w:t>4仿真平台开发</w:t>
          </w:r>
          <w:r>
            <w:rPr>
              <w:rFonts w:eastAsia="宋体"/>
              <w:sz w:val="24"/>
            </w:rPr>
            <w:tab/>
          </w:r>
          <w:r>
            <w:rPr>
              <w:rFonts w:eastAsia="宋体"/>
              <w:sz w:val="24"/>
            </w:rPr>
            <w:fldChar w:fldCharType="begin"/>
          </w:r>
          <w:r>
            <w:rPr>
              <w:rFonts w:eastAsia="宋体"/>
              <w:sz w:val="24"/>
            </w:rPr>
            <w:instrText xml:space="preserve"> PAGEREF _Toc10945 \h </w:instrText>
          </w:r>
          <w:r>
            <w:rPr>
              <w:rFonts w:eastAsia="宋体"/>
              <w:sz w:val="24"/>
            </w:rPr>
            <w:fldChar w:fldCharType="separate"/>
          </w:r>
          <w:r>
            <w:rPr>
              <w:rFonts w:eastAsia="宋体"/>
              <w:sz w:val="24"/>
            </w:rPr>
            <w:t>21</w:t>
          </w:r>
          <w:r>
            <w:rPr>
              <w:rFonts w:eastAsia="宋体"/>
              <w:sz w:val="24"/>
            </w:rPr>
            <w:fldChar w:fldCharType="end"/>
          </w:r>
          <w:r>
            <w:rPr>
              <w:rFonts w:eastAsia="宋体"/>
              <w:sz w:val="24"/>
            </w:rPr>
            <w:fldChar w:fldCharType="end"/>
          </w:r>
        </w:p>
        <w:p w14:paraId="145B5772">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"_Toc25905" </w:instrText>
          </w:r>
          <w:r>
            <w:fldChar w:fldCharType="separate"/>
          </w:r>
          <w:r>
            <w:rPr>
              <w:rFonts w:hint="eastAsia" w:eastAsia="宋体"/>
              <w:sz w:val="24"/>
            </w:rPr>
            <w:t>5平台功能介绍</w:t>
          </w:r>
          <w:r>
            <w:rPr>
              <w:rFonts w:eastAsia="宋体"/>
              <w:sz w:val="24"/>
            </w:rPr>
            <w:tab/>
          </w:r>
          <w:r>
            <w:rPr>
              <w:rFonts w:eastAsia="宋体"/>
              <w:sz w:val="24"/>
            </w:rPr>
            <w:fldChar w:fldCharType="begin"/>
          </w:r>
          <w:r>
            <w:rPr>
              <w:rFonts w:eastAsia="宋体"/>
              <w:sz w:val="24"/>
            </w:rPr>
            <w:instrText xml:space="preserve"> PAGEREF _Toc25905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0F3667F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"_Toc24503" </w:instrText>
          </w:r>
          <w:r>
            <w:fldChar w:fldCharType="separate"/>
          </w:r>
          <w:r>
            <w:rPr>
              <w:rFonts w:hint="eastAsia" w:eastAsia="宋体"/>
              <w:sz w:val="24"/>
            </w:rPr>
            <w:t>6 实验验证</w:t>
          </w:r>
          <w:r>
            <w:rPr>
              <w:rFonts w:eastAsia="宋体"/>
              <w:sz w:val="24"/>
            </w:rPr>
            <w:tab/>
          </w:r>
          <w:r>
            <w:rPr>
              <w:rFonts w:eastAsia="宋体"/>
              <w:sz w:val="24"/>
            </w:rPr>
            <w:fldChar w:fldCharType="begin"/>
          </w:r>
          <w:r>
            <w:rPr>
              <w:rFonts w:eastAsia="宋体"/>
              <w:sz w:val="24"/>
            </w:rPr>
            <w:instrText xml:space="preserve"> PAGEREF _Toc24503 \h </w:instrText>
          </w:r>
          <w:r>
            <w:rPr>
              <w:rFonts w:eastAsia="宋体"/>
              <w:sz w:val="24"/>
            </w:rPr>
            <w:fldChar w:fldCharType="separate"/>
          </w:r>
          <w:r>
            <w:rPr>
              <w:rFonts w:eastAsia="宋体"/>
              <w:sz w:val="24"/>
            </w:rPr>
            <w:t>29</w:t>
          </w:r>
          <w:r>
            <w:rPr>
              <w:rFonts w:eastAsia="宋体"/>
              <w:sz w:val="24"/>
            </w:rPr>
            <w:fldChar w:fldCharType="end"/>
          </w:r>
          <w:r>
            <w:rPr>
              <w:rFonts w:eastAsia="宋体"/>
              <w:sz w:val="24"/>
            </w:rPr>
            <w:fldChar w:fldCharType="end"/>
          </w:r>
        </w:p>
        <w:p w14:paraId="353E2C84">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"_Toc23124" </w:instrText>
          </w:r>
          <w:r>
            <w:fldChar w:fldCharType="separate"/>
          </w:r>
          <w:r>
            <w:t>6.1 实验一：CCD 拍摄单透镜光斑与 RMS 半径计算</w:t>
          </w:r>
          <w:r>
            <w:tab/>
          </w:r>
          <w:r>
            <w:fldChar w:fldCharType="begin"/>
          </w:r>
          <w:r>
            <w:instrText xml:space="preserve"> PAGEREF _Toc23124 \h </w:instrText>
          </w:r>
          <w:r>
            <w:fldChar w:fldCharType="separate"/>
          </w:r>
          <w:r>
            <w:t>37</w:t>
          </w:r>
          <w:r>
            <w:fldChar w:fldCharType="end"/>
          </w:r>
          <w:r>
            <w:fldChar w:fldCharType="end"/>
          </w:r>
        </w:p>
        <w:p w14:paraId="2D3EA4FD">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"_Toc13539" </w:instrText>
          </w:r>
          <w:r>
            <w:fldChar w:fldCharType="separate"/>
          </w:r>
          <w:r>
            <w:t>6.1.1 实验目的</w:t>
          </w:r>
          <w:r>
            <w:tab/>
          </w:r>
          <w:r>
            <w:fldChar w:fldCharType="begin"/>
          </w:r>
          <w:r>
            <w:instrText xml:space="preserve"> PAGEREF _Toc13539 \h </w:instrText>
          </w:r>
          <w:r>
            <w:fldChar w:fldCharType="separate"/>
          </w:r>
          <w:r>
            <w:t>37</w:t>
          </w:r>
          <w:r>
            <w:fldChar w:fldCharType="end"/>
          </w:r>
          <w:r>
            <w:fldChar w:fldCharType="end"/>
          </w:r>
        </w:p>
        <w:p w14:paraId="574C3A00">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"_Toc27439" </w:instrText>
          </w:r>
          <w:r>
            <w:fldChar w:fldCharType="separate"/>
          </w:r>
          <w:r>
            <w:t>6.1.2 实验原理</w:t>
          </w:r>
          <w:r>
            <w:tab/>
          </w:r>
          <w:r>
            <w:fldChar w:fldCharType="begin"/>
          </w:r>
          <w:r>
            <w:instrText xml:space="preserve"> PAGEREF _Toc27439 \h </w:instrText>
          </w:r>
          <w:r>
            <w:fldChar w:fldCharType="separate"/>
          </w:r>
          <w:r>
            <w:t>37</w:t>
          </w:r>
          <w:r>
            <w:fldChar w:fldCharType="end"/>
          </w:r>
          <w:r>
            <w:fldChar w:fldCharType="end"/>
          </w:r>
        </w:p>
        <w:p w14:paraId="225A05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"_Toc18127" </w:instrText>
          </w:r>
          <w:r>
            <w:fldChar w:fldCharType="separate"/>
          </w:r>
          <w:r>
            <w:t>6.1.3 实验器材与步骤</w:t>
          </w:r>
          <w:r>
            <w:tab/>
          </w:r>
          <w:r>
            <w:fldChar w:fldCharType="begin"/>
          </w:r>
          <w:r>
            <w:instrText xml:space="preserve"> PAGEREF _Toc18127 \h </w:instrText>
          </w:r>
          <w:r>
            <w:fldChar w:fldCharType="separate"/>
          </w:r>
          <w:r>
            <w:t>37</w:t>
          </w:r>
          <w:r>
            <w:fldChar w:fldCharType="end"/>
          </w:r>
          <w:r>
            <w:fldChar w:fldCharType="end"/>
          </w:r>
        </w:p>
        <w:p w14:paraId="729BFC07">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"_Toc1812" </w:instrText>
          </w:r>
          <w:r>
            <w:fldChar w:fldCharType="separate"/>
          </w:r>
          <w:r>
            <w:t>6.1.4 实验结果与仿真对比</w:t>
          </w:r>
          <w:r>
            <w:tab/>
          </w:r>
          <w:r>
            <w:fldChar w:fldCharType="begin"/>
          </w:r>
          <w:r>
            <w:instrText xml:space="preserve"> PAGEREF _Toc1812 \h </w:instrText>
          </w:r>
          <w:r>
            <w:fldChar w:fldCharType="separate"/>
          </w:r>
          <w:r>
            <w:t>37</w:t>
          </w:r>
          <w:r>
            <w:fldChar w:fldCharType="end"/>
          </w:r>
          <w:r>
            <w:fldChar w:fldCharType="end"/>
          </w:r>
        </w:p>
        <w:p w14:paraId="652091DA">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"_Toc8392" </w:instrText>
          </w:r>
          <w:r>
            <w:fldChar w:fldCharType="separate"/>
          </w:r>
          <w:r>
            <w:t>6.2 实验二：光纤纵向失配下的耦合效率</w:t>
          </w:r>
          <w:r>
            <w:tab/>
          </w:r>
          <w:r>
            <w:fldChar w:fldCharType="begin"/>
          </w:r>
          <w:r>
            <w:instrText xml:space="preserve"> PAGEREF _Toc8392 \h </w:instrText>
          </w:r>
          <w:r>
            <w:fldChar w:fldCharType="separate"/>
          </w:r>
          <w:r>
            <w:t>39</w:t>
          </w:r>
          <w:r>
            <w:fldChar w:fldCharType="end"/>
          </w:r>
          <w:r>
            <w:fldChar w:fldCharType="end"/>
          </w:r>
        </w:p>
        <w:p w14:paraId="2D883508">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"_Toc2132" </w:instrText>
          </w:r>
          <w:r>
            <w:fldChar w:fldCharType="separate"/>
          </w:r>
          <w:r>
            <w:t>6.2.1 实验目的</w:t>
          </w:r>
          <w:r>
            <w:tab/>
          </w:r>
          <w:r>
            <w:fldChar w:fldCharType="begin"/>
          </w:r>
          <w:r>
            <w:instrText xml:space="preserve"> PAGEREF _Toc2132 \h </w:instrText>
          </w:r>
          <w:r>
            <w:fldChar w:fldCharType="separate"/>
          </w:r>
          <w:r>
            <w:t>39</w:t>
          </w:r>
          <w:r>
            <w:fldChar w:fldCharType="end"/>
          </w:r>
          <w:r>
            <w:fldChar w:fldCharType="end"/>
          </w:r>
        </w:p>
        <w:p w14:paraId="5D674FC4">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"_Toc10029" </w:instrText>
          </w:r>
          <w:r>
            <w:fldChar w:fldCharType="separate"/>
          </w:r>
          <w:r>
            <w:t>6.2.2 实验原理</w:t>
          </w:r>
          <w:r>
            <w:tab/>
          </w:r>
          <w:r>
            <w:fldChar w:fldCharType="begin"/>
          </w:r>
          <w:r>
            <w:instrText xml:space="preserve"> PAGEREF _Toc10029 \h </w:instrText>
          </w:r>
          <w:r>
            <w:fldChar w:fldCharType="separate"/>
          </w:r>
          <w:r>
            <w:t>39</w:t>
          </w:r>
          <w:r>
            <w:fldChar w:fldCharType="end"/>
          </w:r>
          <w:r>
            <w:fldChar w:fldCharType="end"/>
          </w:r>
        </w:p>
        <w:p w14:paraId="5F6C0691">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"_Toc12248" </w:instrText>
          </w:r>
          <w:r>
            <w:fldChar w:fldCharType="separate"/>
          </w:r>
          <w:r>
            <w:t>6.2.3 实验器材与步骤</w:t>
          </w:r>
          <w:r>
            <w:tab/>
          </w:r>
          <w:r>
            <w:fldChar w:fldCharType="begin"/>
          </w:r>
          <w:r>
            <w:instrText xml:space="preserve"> PAGEREF _Toc12248 \h </w:instrText>
          </w:r>
          <w:r>
            <w:fldChar w:fldCharType="separate"/>
          </w:r>
          <w:r>
            <w:t>39</w:t>
          </w:r>
          <w:r>
            <w:fldChar w:fldCharType="end"/>
          </w:r>
          <w:r>
            <w:fldChar w:fldCharType="end"/>
          </w:r>
        </w:p>
        <w:p w14:paraId="4E44C5E3">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"_Toc29987" </w:instrText>
          </w:r>
          <w:r>
            <w:fldChar w:fldCharType="separate"/>
          </w:r>
          <w:r>
            <w:t>6.2.4 实验结果</w:t>
          </w:r>
          <w:r>
            <w:tab/>
          </w:r>
          <w:r>
            <w:fldChar w:fldCharType="begin"/>
          </w:r>
          <w:r>
            <w:instrText xml:space="preserve"> PAGEREF _Toc29987 \h </w:instrText>
          </w:r>
          <w:r>
            <w:fldChar w:fldCharType="separate"/>
          </w:r>
          <w:r>
            <w:t>39</w:t>
          </w:r>
          <w:r>
            <w:fldChar w:fldCharType="end"/>
          </w:r>
          <w:r>
            <w:fldChar w:fldCharType="end"/>
          </w:r>
        </w:p>
        <w:p w14:paraId="3F686DCE">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"_Toc6799" </w:instrText>
          </w:r>
          <w:r>
            <w:fldChar w:fldCharType="separate"/>
          </w:r>
          <w:r>
            <w:t>6.3 实验三：光斑分析仪测量光斑</w:t>
          </w:r>
          <w:r>
            <w:tab/>
          </w:r>
          <w:r>
            <w:fldChar w:fldCharType="begin"/>
          </w:r>
          <w:r>
            <w:instrText xml:space="preserve"> PAGEREF _Toc6799 \h </w:instrText>
          </w:r>
          <w:r>
            <w:fldChar w:fldCharType="separate"/>
          </w:r>
          <w:r>
            <w:t>41</w:t>
          </w:r>
          <w:r>
            <w:fldChar w:fldCharType="end"/>
          </w:r>
          <w:r>
            <w:fldChar w:fldCharType="end"/>
          </w:r>
        </w:p>
        <w:p w14:paraId="2449579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"_Toc20689" </w:instrText>
          </w:r>
          <w:r>
            <w:fldChar w:fldCharType="separate"/>
          </w:r>
          <w:r>
            <w:t>6.3.1 实验目的</w:t>
          </w:r>
          <w:r>
            <w:tab/>
          </w:r>
          <w:r>
            <w:fldChar w:fldCharType="begin"/>
          </w:r>
          <w:r>
            <w:instrText xml:space="preserve"> PAGEREF _Toc20689 \h </w:instrText>
          </w:r>
          <w:r>
            <w:fldChar w:fldCharType="separate"/>
          </w:r>
          <w:r>
            <w:t>41</w:t>
          </w:r>
          <w:r>
            <w:fldChar w:fldCharType="end"/>
          </w:r>
          <w:r>
            <w:fldChar w:fldCharType="end"/>
          </w:r>
        </w:p>
        <w:p w14:paraId="2CB2414E">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"_Toc26416" </w:instrText>
          </w:r>
          <w:r>
            <w:fldChar w:fldCharType="separate"/>
          </w:r>
          <w:r>
            <w:t>6.3.2 实验过程与结果</w:t>
          </w:r>
          <w:r>
            <w:tab/>
          </w:r>
          <w:r>
            <w:fldChar w:fldCharType="begin"/>
          </w:r>
          <w:r>
            <w:instrText xml:space="preserve"> PAGEREF _Toc26416 \h </w:instrText>
          </w:r>
          <w:r>
            <w:fldChar w:fldCharType="separate"/>
          </w:r>
          <w:r>
            <w:t>41</w:t>
          </w:r>
          <w:r>
            <w:fldChar w:fldCharType="end"/>
          </w:r>
          <w:r>
            <w:fldChar w:fldCharType="end"/>
          </w:r>
        </w:p>
        <w:p w14:paraId="4D801411">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"_Toc12945" </w:instrText>
          </w:r>
          <w:r>
            <w:fldChar w:fldCharType="separate"/>
          </w:r>
          <w:r>
            <w:t>6.4 实验误差分析</w:t>
          </w:r>
          <w:r>
            <w:tab/>
          </w:r>
          <w:r>
            <w:fldChar w:fldCharType="begin"/>
          </w:r>
          <w:r>
            <w:instrText xml:space="preserve"> PAGEREF _Toc12945 \h </w:instrText>
          </w:r>
          <w:r>
            <w:fldChar w:fldCharType="separate"/>
          </w:r>
          <w:r>
            <w:t>43</w:t>
          </w:r>
          <w:r>
            <w:fldChar w:fldCharType="end"/>
          </w:r>
          <w:r>
            <w:fldChar w:fldCharType="end"/>
          </w:r>
        </w:p>
        <w:p w14:paraId="458EBBFF">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"_Toc14112" </w:instrText>
          </w:r>
          <w:r>
            <w:fldChar w:fldCharType="separate"/>
          </w:r>
          <w:r>
            <w:rPr>
              <w:rFonts w:hint="eastAsia" w:eastAsia="宋体"/>
              <w:sz w:val="24"/>
            </w:rPr>
            <w:t>7总结及展望</w:t>
          </w:r>
          <w:r>
            <w:rPr>
              <w:rFonts w:eastAsia="宋体"/>
              <w:sz w:val="24"/>
            </w:rPr>
            <w:tab/>
          </w:r>
          <w:r>
            <w:rPr>
              <w:rFonts w:eastAsia="宋体"/>
              <w:sz w:val="24"/>
            </w:rPr>
            <w:fldChar w:fldCharType="begin"/>
          </w:r>
          <w:r>
            <w:rPr>
              <w:rFonts w:eastAsia="宋体"/>
              <w:sz w:val="24"/>
            </w:rPr>
            <w:instrText xml:space="preserve"> PAGEREF _Toc14112 \h </w:instrText>
          </w:r>
          <w:r>
            <w:rPr>
              <w:rFonts w:eastAsia="宋体"/>
              <w:sz w:val="24"/>
            </w:rPr>
            <w:fldChar w:fldCharType="separate"/>
          </w:r>
          <w:r>
            <w:rPr>
              <w:rFonts w:eastAsia="宋体"/>
              <w:sz w:val="24"/>
            </w:rPr>
            <w:t>45</w:t>
          </w:r>
          <w:r>
            <w:rPr>
              <w:rFonts w:eastAsia="宋体"/>
              <w:sz w:val="24"/>
            </w:rPr>
            <w:fldChar w:fldCharType="end"/>
          </w:r>
          <w:r>
            <w:rPr>
              <w:rFonts w:eastAsia="宋体"/>
              <w:sz w:val="24"/>
            </w:rPr>
            <w:fldChar w:fldCharType="end"/>
          </w:r>
        </w:p>
        <w:p w14:paraId="0FCF0E1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"_Toc32456" </w:instrText>
          </w:r>
          <w:r>
            <w:fldChar w:fldCharType="separate"/>
          </w:r>
          <w:r>
            <w:t>7.1 仿真平台的优势</w:t>
          </w:r>
          <w:r>
            <w:tab/>
          </w:r>
          <w:r>
            <w:fldChar w:fldCharType="begin"/>
          </w:r>
          <w:r>
            <w:instrText xml:space="preserve"> PAGEREF _Toc32456 \h </w:instrText>
          </w:r>
          <w:r>
            <w:fldChar w:fldCharType="separate"/>
          </w:r>
          <w:r>
            <w:t>45</w:t>
          </w:r>
          <w:r>
            <w:fldChar w:fldCharType="end"/>
          </w:r>
          <w:r>
            <w:fldChar w:fldCharType="end"/>
          </w:r>
        </w:p>
        <w:p w14:paraId="155C43C7">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"_Toc19329" </w:instrText>
          </w:r>
          <w:r>
            <w:fldChar w:fldCharType="separate"/>
          </w:r>
          <w:r>
            <w:t>7.2 局限性及改进</w:t>
          </w:r>
          <w:r>
            <w:tab/>
          </w:r>
          <w:r>
            <w:fldChar w:fldCharType="begin"/>
          </w:r>
          <w:r>
            <w:instrText xml:space="preserve"> PAGEREF _Toc19329 \h </w:instrText>
          </w:r>
          <w:r>
            <w:fldChar w:fldCharType="separate"/>
          </w:r>
          <w:r>
            <w:rPr>
              <w:b/>
            </w:rPr>
            <w:t>错误！未定义书签。</w:t>
          </w:r>
          <w:r>
            <w:fldChar w:fldCharType="end"/>
          </w:r>
          <w:r>
            <w:fldChar w:fldCharType="end"/>
          </w:r>
        </w:p>
        <w:p w14:paraId="0FA0DE58">
          <w:pPr>
            <w:pStyle w:val="13"/>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"_Toc20277" </w:instrText>
          </w:r>
          <w:r>
            <w:fldChar w:fldCharType="separate"/>
          </w:r>
          <w:r>
            <w:t>7.3 展望</w:t>
          </w:r>
          <w:r>
            <w:tab/>
          </w:r>
          <w:r>
            <w:fldChar w:fldCharType="begin"/>
          </w:r>
          <w:r>
            <w:instrText xml:space="preserve"> PAGEREF _Toc20277 \h </w:instrText>
          </w:r>
          <w:r>
            <w:fldChar w:fldCharType="separate"/>
          </w:r>
          <w:r>
            <w:t>45</w:t>
          </w:r>
          <w:r>
            <w:fldChar w:fldCharType="end"/>
          </w:r>
          <w:r>
            <w:fldChar w:fldCharType="end"/>
          </w:r>
        </w:p>
        <w:p w14:paraId="297EA086">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"_Toc18350" </w:instrText>
          </w:r>
          <w:r>
            <w:fldChar w:fldCharType="separate"/>
          </w:r>
          <w:r>
            <w:rPr>
              <w:rFonts w:hint="eastAsia" w:eastAsia="宋体"/>
              <w:sz w:val="24"/>
            </w:rPr>
            <w:t>8团队成员贡献</w:t>
          </w:r>
          <w:r>
            <w:rPr>
              <w:rFonts w:eastAsia="宋体"/>
              <w:sz w:val="24"/>
            </w:rPr>
            <w:tab/>
          </w:r>
          <w:r>
            <w:rPr>
              <w:rFonts w:eastAsia="宋体"/>
              <w:sz w:val="24"/>
            </w:rPr>
            <w:fldChar w:fldCharType="begin"/>
          </w:r>
          <w:r>
            <w:rPr>
              <w:rFonts w:eastAsia="宋体"/>
              <w:sz w:val="24"/>
            </w:rPr>
            <w:instrText xml:space="preserve"> PAGEREF _Toc18350 \h </w:instrText>
          </w:r>
          <w:r>
            <w:rPr>
              <w:rFonts w:eastAsia="宋体"/>
              <w:sz w:val="24"/>
            </w:rPr>
            <w:fldChar w:fldCharType="separate"/>
          </w:r>
          <w:r>
            <w:rPr>
              <w:rFonts w:eastAsia="宋体"/>
              <w:sz w:val="24"/>
            </w:rPr>
            <w:t>46</w:t>
          </w:r>
          <w:r>
            <w:rPr>
              <w:rFonts w:eastAsia="宋体"/>
              <w:sz w:val="24"/>
            </w:rPr>
            <w:fldChar w:fldCharType="end"/>
          </w:r>
          <w:r>
            <w:rPr>
              <w:rFonts w:eastAsia="宋体"/>
              <w:sz w:val="24"/>
            </w:rPr>
            <w:fldChar w:fldCharType="end"/>
          </w:r>
        </w:p>
        <w:p w14:paraId="79E10440">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"_Toc20470" </w:instrText>
          </w:r>
          <w:r>
            <w:fldChar w:fldCharType="separate"/>
          </w:r>
          <w:r>
            <w:rPr>
              <w:rFonts w:hint="eastAsia" w:eastAsia="宋体"/>
              <w:sz w:val="24"/>
            </w:rPr>
            <w:t>9参考文献</w:t>
          </w:r>
          <w:r>
            <w:rPr>
              <w:rFonts w:eastAsia="宋体"/>
              <w:sz w:val="24"/>
            </w:rPr>
            <w:tab/>
          </w:r>
          <w:r>
            <w:rPr>
              <w:rFonts w:eastAsia="宋体"/>
              <w:sz w:val="24"/>
            </w:rPr>
            <w:fldChar w:fldCharType="begin"/>
          </w:r>
          <w:r>
            <w:rPr>
              <w:rFonts w:eastAsia="宋体"/>
              <w:sz w:val="24"/>
            </w:rPr>
            <w:instrText xml:space="preserve"> PAGEREF _Toc20470 \h </w:instrText>
          </w:r>
          <w:r>
            <w:rPr>
              <w:rFonts w:eastAsia="宋体"/>
              <w:sz w:val="24"/>
            </w:rPr>
            <w:fldChar w:fldCharType="separate"/>
          </w:r>
          <w:r>
            <w:rPr>
              <w:rFonts w:eastAsia="宋体"/>
              <w:sz w:val="24"/>
            </w:rPr>
            <w:t>47</w:t>
          </w:r>
          <w:r>
            <w:rPr>
              <w:rFonts w:eastAsia="宋体"/>
              <w:sz w:val="24"/>
            </w:rPr>
            <w:fldChar w:fldCharType="end"/>
          </w:r>
          <w:r>
            <w:rPr>
              <w:rFonts w:eastAsia="宋体"/>
              <w:sz w:val="24"/>
            </w:rPr>
            <w:fldChar w:fldCharType="end"/>
          </w:r>
        </w:p>
        <w:p w14:paraId="486D07B5">
          <w:pPr>
            <w:pStyle w:val="12"/>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rPr>
              <w:rFonts w:eastAsia="宋体"/>
              <w:sz w:val="24"/>
            </w:rPr>
          </w:pPr>
          <w:r>
            <w:fldChar w:fldCharType="begin"/>
          </w:r>
          <w:r>
            <w:instrText xml:space="preserve"> HYPERLINK \l "_Toc11446" </w:instrText>
          </w:r>
          <w:r>
            <w:fldChar w:fldCharType="separate"/>
          </w:r>
          <w:r>
            <w:rPr>
              <w:rFonts w:hint="eastAsia" w:eastAsia="宋体"/>
              <w:sz w:val="24"/>
            </w:rPr>
            <w:t>附录</w:t>
          </w:r>
          <w:r>
            <w:rPr>
              <w:rFonts w:eastAsia="宋体"/>
              <w:sz w:val="24"/>
            </w:rPr>
            <w:tab/>
          </w:r>
          <w:r>
            <w:rPr>
              <w:rFonts w:eastAsia="宋体"/>
              <w:sz w:val="24"/>
            </w:rPr>
            <w:fldChar w:fldCharType="begin"/>
          </w:r>
          <w:r>
            <w:rPr>
              <w:rFonts w:eastAsia="宋体"/>
              <w:sz w:val="24"/>
            </w:rPr>
            <w:instrText xml:space="preserve"> PAGEREF _Toc11446 \h </w:instrText>
          </w:r>
          <w:r>
            <w:rPr>
              <w:rFonts w:eastAsia="宋体"/>
              <w:sz w:val="24"/>
            </w:rPr>
            <w:fldChar w:fldCharType="separate"/>
          </w:r>
          <w:r>
            <w:rPr>
              <w:rFonts w:eastAsia="宋体"/>
              <w:sz w:val="24"/>
            </w:rPr>
            <w:t>48</w:t>
          </w:r>
          <w:r>
            <w:rPr>
              <w:rFonts w:eastAsia="宋体"/>
              <w:sz w:val="24"/>
            </w:rPr>
            <w:fldChar w:fldCharType="end"/>
          </w:r>
          <w:r>
            <w:rPr>
              <w:rFonts w:eastAsia="宋体"/>
              <w:sz w:val="24"/>
            </w:rPr>
            <w:fldChar w:fldCharType="end"/>
          </w:r>
        </w:p>
        <w:p w14:paraId="19CD795B">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"_Toc5535" </w:instrText>
          </w:r>
          <w:r>
            <w:fldChar w:fldCharType="separate"/>
          </w:r>
          <w:r>
            <w:rPr>
              <w:rFonts w:hint="eastAsia" w:cs="宋体"/>
            </w:rPr>
            <w:t>附录A材料数据来源</w:t>
          </w:r>
          <w:r>
            <w:tab/>
          </w:r>
          <w:r>
            <w:fldChar w:fldCharType="begin"/>
          </w:r>
          <w:r>
            <w:instrText xml:space="preserve"> PAGEREF _Toc5535 \h </w:instrText>
          </w:r>
          <w:r>
            <w:fldChar w:fldCharType="separate"/>
          </w:r>
          <w:r>
            <w:t>48</w:t>
          </w:r>
          <w:r>
            <w:fldChar w:fldCharType="end"/>
          </w:r>
          <w:r>
            <w:fldChar w:fldCharType="end"/>
          </w:r>
        </w:p>
        <w:p w14:paraId="7AB56049">
          <w:pPr>
            <w:pStyle w:val="8"/>
            <w:keepNext w:val="0"/>
            <w:keepLines w:val="0"/>
            <w:pageBreakBefore w:val="0"/>
            <w:widowControl w:val="0"/>
            <w:tabs>
              <w:tab w:val="right" w:leader="dot" w:pos="9355"/>
            </w:tabs>
            <w:kinsoku/>
            <w:wordWrap/>
            <w:overflowPunct/>
            <w:topLinePunct w:val="0"/>
            <w:autoSpaceDE/>
            <w:autoSpaceDN/>
            <w:bidi w:val="0"/>
            <w:adjustRightInd/>
            <w:snapToGrid/>
            <w:ind w:left="0" w:leftChars="0"/>
            <w:textAlignment w:val="auto"/>
          </w:pPr>
          <w:r>
            <w:fldChar w:fldCharType="begin"/>
          </w:r>
          <w:r>
            <w:instrText xml:space="preserve"> HYPERLINK \l "_Toc32148" </w:instrText>
          </w:r>
          <w:r>
            <w:fldChar w:fldCharType="separate"/>
          </w:r>
          <w:r>
            <w:rPr>
              <w:rFonts w:hint="eastAsia" w:cs="宋体"/>
            </w:rPr>
            <w:t>附录B AI使用声明</w:t>
          </w:r>
          <w:r>
            <w:tab/>
          </w:r>
          <w:r>
            <w:fldChar w:fldCharType="begin"/>
          </w:r>
          <w:r>
            <w:instrText xml:space="preserve"> PAGEREF _Toc32148 \h </w:instrText>
          </w:r>
          <w:r>
            <w:fldChar w:fldCharType="separate"/>
          </w:r>
          <w:r>
            <w:t>48</w:t>
          </w:r>
          <w:r>
            <w:fldChar w:fldCharType="end"/>
          </w:r>
          <w:r>
            <w:fldChar w:fldCharType="end"/>
          </w:r>
        </w:p>
        <w:p w14:paraId="1B3BD49F">
          <w:pPr>
            <w:pStyle w:val="8"/>
            <w:tabs>
              <w:tab w:val="right" w:leader="dot" w:pos="9355"/>
            </w:tabs>
            <w:ind w:left="960"/>
          </w:pPr>
        </w:p>
        <w:p w14:paraId="6158943A">
          <w:pPr>
            <w:pStyle w:val="9"/>
            <w:ind w:left="0" w:leftChars="0"/>
            <w:sectPr>
              <w:footerReference r:id="rId6" w:type="default"/>
              <w:pgSz w:w="11906" w:h="16838"/>
              <w:pgMar w:top="1417" w:right="1134" w:bottom="1417" w:left="1417" w:header="851" w:footer="992" w:gutter="0"/>
              <w:pgNumType w:fmt="upperRoman"/>
              <w:cols w:space="425" w:num="1"/>
              <w:docGrid w:type="lines" w:linePitch="312" w:charSpace="0"/>
            </w:sectPr>
          </w:pPr>
          <w:r>
            <w:fldChar w:fldCharType="end"/>
          </w:r>
        </w:p>
      </w:sdtContent>
    </w:sdt>
    <w:p w14:paraId="1E3B6551">
      <w:pPr>
        <w:pStyle w:val="2"/>
        <w:spacing w:before="312" w:after="312"/>
        <w:rPr>
          <w:rStyle w:val="21"/>
          <w:rFonts w:hint="eastAsia" w:ascii="黑体" w:hAnsi="黑体" w:cs="黑体"/>
          <w:b/>
          <w:sz w:val="44"/>
          <w:szCs w:val="44"/>
        </w:rPr>
      </w:pPr>
      <w:bookmarkStart w:id="6" w:name="_Toc19461"/>
      <w:bookmarkStart w:id="7" w:name="_Toc15787"/>
      <w:bookmarkStart w:id="8" w:name="_Toc18780"/>
      <w:r>
        <w:rPr>
          <w:rStyle w:val="21"/>
          <w:rFonts w:hint="eastAsia" w:ascii="黑体" w:hAnsi="黑体" w:cs="黑体"/>
          <w:b/>
          <w:color w:val="000000"/>
          <w:sz w:val="44"/>
          <w:szCs w:val="44"/>
        </w:rPr>
        <w:t>1</w:t>
      </w:r>
      <w:bookmarkEnd w:id="6"/>
      <w:bookmarkEnd w:id="7"/>
      <w:r>
        <w:rPr>
          <w:rStyle w:val="21"/>
          <w:rFonts w:hint="eastAsia" w:ascii="黑体" w:hAnsi="黑体" w:cs="黑体"/>
          <w:b/>
          <w:color w:val="000000"/>
          <w:sz w:val="44"/>
          <w:szCs w:val="44"/>
        </w:rPr>
        <w:t>引言</w:t>
      </w:r>
      <w:bookmarkEnd w:id="8"/>
    </w:p>
    <w:p w14:paraId="67AA8BA5">
      <w:pPr>
        <w:pStyle w:val="3"/>
        <w:spacing w:before="249" w:after="249"/>
      </w:pPr>
      <w:bookmarkStart w:id="9" w:name="_Toc1633"/>
      <w:bookmarkStart w:id="10" w:name="_Toc13712"/>
      <w:r>
        <w:rPr>
          <w:rFonts w:hint="eastAsia"/>
        </w:rPr>
        <w:t>1.1</w:t>
      </w:r>
      <w:bookmarkEnd w:id="9"/>
      <w:r>
        <w:rPr>
          <w:rFonts w:hint="eastAsia"/>
        </w:rPr>
        <w:t>选题意义</w:t>
      </w:r>
      <w:bookmarkEnd w:id="10"/>
    </w:p>
    <w:p w14:paraId="14BC3420">
      <w:pPr>
        <w:pageBreakBefore w:val="0"/>
        <w:kinsoku/>
        <w:wordWrap/>
        <w:overflowPunct/>
        <w:topLinePunct w:val="0"/>
        <w:autoSpaceDE/>
        <w:autoSpaceDN/>
        <w:bidi w:val="0"/>
        <w:adjustRightInd/>
        <w:ind w:left="0" w:leftChars="0" w:firstLine="480" w:firstLineChars="200"/>
        <w:textAlignment w:val="auto"/>
      </w:pPr>
      <w:bookmarkStart w:id="11" w:name="_Toc26796"/>
      <w:r>
        <w:t>2025年中共中央、国务院印发的《教育强国建设规划纲要》明确提出“加快建设高质量教育体系”</w:t>
      </w:r>
      <w:r>
        <w:rPr>
          <w:rFonts w:hint="eastAsia"/>
        </w:rPr>
        <w:t>，如图1-1所示</w:t>
      </w:r>
      <w:r>
        <w:t>。同年，五部门联合推进“虚拟仿真实验教学2.0”，重点解决实验教学中高成本、难实施、难再现的痛点</w:t>
      </w:r>
      <w:r>
        <w:rPr>
          <w:rFonts w:hint="eastAsia"/>
        </w:rPr>
        <w:t>，如图1-2所示</w:t>
      </w:r>
      <w:r>
        <w:t>。虚拟仿真实验教学的价值，不只是把真实实验搬到屏幕上，更重要的是利用数字化、可视化和可重复的方式，让学生能够观察实验过程、理解物理机理并反复探索不同方案。</w:t>
      </w:r>
    </w:p>
    <w:p w14:paraId="13287AC8">
      <w:pPr>
        <w:pStyle w:val="9"/>
        <w:pageBreakBefore w:val="0"/>
        <w:kinsoku/>
        <w:wordWrap/>
        <w:overflowPunct/>
        <w:topLinePunct w:val="0"/>
        <w:autoSpaceDE/>
        <w:autoSpaceDN/>
        <w:bidi w:val="0"/>
        <w:adjustRightInd/>
        <w:ind w:left="0" w:leftChars="0"/>
        <w:textAlignment w:val="auto"/>
      </w:pPr>
      <w:r>
        <w:drawing>
          <wp:inline distT="0" distB="0" distL="0" distR="0">
            <wp:extent cx="5940425" cy="3389630"/>
            <wp:effectExtent l="0" t="0" r="3175" b="1270"/>
            <wp:docPr id="2713149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4937"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3389630"/>
                    </a:xfrm>
                    <a:prstGeom prst="rect">
                      <a:avLst/>
                    </a:prstGeom>
                    <a:noFill/>
                    <a:ln>
                      <a:noFill/>
                    </a:ln>
                  </pic:spPr>
                </pic:pic>
              </a:graphicData>
            </a:graphic>
          </wp:inline>
        </w:drawing>
      </w:r>
    </w:p>
    <w:p w14:paraId="12FB054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1-1</w:t>
      </w:r>
      <w:r>
        <w:rPr>
          <w:rFonts w:hint="eastAsia" w:ascii="宋体" w:hAnsi="宋体" w:cs="宋体"/>
          <w:sz w:val="21"/>
          <w:szCs w:val="21"/>
        </w:rPr>
        <w:t>教育强国建设规划纲要</w:t>
      </w:r>
    </w:p>
    <w:p w14:paraId="430543BD">
      <w:pPr>
        <w:pStyle w:val="9"/>
        <w:pageBreakBefore w:val="0"/>
        <w:kinsoku/>
        <w:wordWrap/>
        <w:overflowPunct/>
        <w:topLinePunct w:val="0"/>
        <w:autoSpaceDE/>
        <w:autoSpaceDN/>
        <w:bidi w:val="0"/>
        <w:adjustRightInd/>
        <w:ind w:left="0" w:leftChars="0"/>
        <w:textAlignment w:val="auto"/>
      </w:pPr>
      <w:r>
        <w:drawing>
          <wp:inline distT="0" distB="0" distL="0" distR="0">
            <wp:extent cx="5940425" cy="3236595"/>
            <wp:effectExtent l="0" t="0" r="3175" b="1905"/>
            <wp:docPr id="19094478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7865" name="图片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0425" cy="3236595"/>
                    </a:xfrm>
                    <a:prstGeom prst="rect">
                      <a:avLst/>
                    </a:prstGeom>
                    <a:noFill/>
                    <a:ln>
                      <a:noFill/>
                    </a:ln>
                  </pic:spPr>
                </pic:pic>
              </a:graphicData>
            </a:graphic>
          </wp:inline>
        </w:drawing>
      </w:r>
    </w:p>
    <w:p w14:paraId="3C047B2F">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1-2</w:t>
      </w:r>
      <w:r>
        <w:rPr>
          <w:rFonts w:hint="eastAsia" w:ascii="宋体" w:hAnsi="宋体" w:cs="宋体"/>
          <w:sz w:val="21"/>
          <w:szCs w:val="21"/>
        </w:rPr>
        <w:t>虚拟仿真实验教学2.0</w:t>
      </w:r>
    </w:p>
    <w:p w14:paraId="12F68588">
      <w:pPr>
        <w:pageBreakBefore w:val="0"/>
        <w:kinsoku/>
        <w:wordWrap/>
        <w:overflowPunct/>
        <w:topLinePunct w:val="0"/>
        <w:autoSpaceDE/>
        <w:autoSpaceDN/>
        <w:bidi w:val="0"/>
        <w:adjustRightInd/>
        <w:ind w:left="0" w:leftChars="0" w:firstLine="480" w:firstLineChars="200"/>
        <w:textAlignment w:val="auto"/>
      </w:pPr>
      <w:r>
        <w:t>复杂光学实验正是上述问题的典型场景。激光耦合过程涉及精密的光路对准、透镜组传播和光纤模式匹配，微小的位移或倾角变化都可能引起明显的结果变化。传统教学中，光路搭建和调节往往依赖实验经验，器材数量和实验课时又限制了学生对多组参数的系统探索。具体到本项目，激光耦合仿真就是虚拟仿真实验教学中一个具有代表性的研究对象。</w:t>
      </w:r>
    </w:p>
    <w:p w14:paraId="166D6283">
      <w:pPr>
        <w:pageBreakBefore w:val="0"/>
        <w:kinsoku/>
        <w:wordWrap/>
        <w:overflowPunct/>
        <w:topLinePunct w:val="0"/>
        <w:autoSpaceDE/>
        <w:autoSpaceDN/>
        <w:bidi w:val="0"/>
        <w:adjustRightInd/>
        <w:ind w:left="0" w:leftChars="0" w:firstLine="480" w:firstLineChars="200"/>
        <w:textAlignment w:val="auto"/>
      </w:pPr>
      <w:r>
        <w:t>为了进一步了解学生在此类实验中的实际困难，本项目开展了相关调研。调研和教学实践反映出，做过光学实验的学生普遍有类似体验：调光路在很大程度上依靠手感，调出的结果未必最优，过程费时费力。学生希望借助仿真辅助理解，但传统专业软件学习成本较高，本科生难以在有限课时内完成从建模、计算到分析的完整学习过程。</w:t>
      </w:r>
    </w:p>
    <w:p w14:paraId="7D690697">
      <w:pPr>
        <w:pageBreakBefore w:val="0"/>
        <w:kinsoku/>
        <w:wordWrap/>
        <w:overflowPunct/>
        <w:topLinePunct w:val="0"/>
        <w:autoSpaceDE/>
        <w:autoSpaceDN/>
        <w:bidi w:val="0"/>
        <w:adjustRightInd/>
        <w:ind w:left="0" w:leftChars="0" w:firstLine="480" w:firstLineChars="200"/>
        <w:textAlignment w:val="auto"/>
      </w:pPr>
      <w:r>
        <w:t>更重要的是，现有仿真结果往往呈现为一个“黑箱”：学生能够看到耦合效率的数值，却不知道应该调节哪个参数，也不清楚参数变化为什么会引起效率变化。</w:t>
      </w:r>
      <w:r>
        <w:rPr>
          <w:rFonts w:hint="eastAsia"/>
        </w:rPr>
        <w:t>为解决这些痛点</w:t>
      </w:r>
      <w:r>
        <w:t>，本项目搭建</w:t>
      </w:r>
      <w:r>
        <w:rPr>
          <w:rFonts w:hint="eastAsia"/>
        </w:rPr>
        <w:t>了</w:t>
      </w:r>
      <w:r>
        <w:t>一个过程可视、操作简便、结果可解释的激光耦合仿真平台，使使用者能够观察光束传播过程、理解耦合效率变化原因，并在此基础上开展后续的参数规律研究。</w:t>
      </w:r>
    </w:p>
    <w:p w14:paraId="412EC83D">
      <w:pPr>
        <w:pStyle w:val="3"/>
        <w:pageBreakBefore w:val="0"/>
        <w:kinsoku/>
        <w:wordWrap/>
        <w:overflowPunct/>
        <w:topLinePunct w:val="0"/>
        <w:autoSpaceDE/>
        <w:autoSpaceDN/>
        <w:bidi w:val="0"/>
        <w:adjustRightInd/>
        <w:spacing w:before="249" w:after="249"/>
        <w:ind w:left="0" w:leftChars="0"/>
        <w:textAlignment w:val="auto"/>
      </w:pPr>
      <w:r>
        <w:rPr>
          <w:rFonts w:hint="eastAsia"/>
        </w:rPr>
        <w:t>1.2目标定位</w:t>
      </w:r>
      <w:bookmarkEnd w:id="11"/>
    </w:p>
    <w:p w14:paraId="3AC4AFE4">
      <w:pPr>
        <w:pageBreakBefore w:val="0"/>
        <w:kinsoku/>
        <w:wordWrap/>
        <w:overflowPunct/>
        <w:topLinePunct w:val="0"/>
        <w:autoSpaceDE/>
        <w:autoSpaceDN/>
        <w:bidi w:val="0"/>
        <w:adjustRightInd/>
        <w:ind w:left="0" w:leftChars="0" w:firstLine="480" w:firstLineChars="200"/>
        <w:textAlignment w:val="auto"/>
      </w:pPr>
      <w:r>
        <w:t>本项目的总体目标是建立物理模型、数值仿真和智能分析之间的协同关系，形成一个过程可视、操作简便、结果可解释的激光耦合仿真研究平台。平台不是用机器学习替代光学计算，而是先由物理模型产生可信的光学状态和耦合结果，再利用机器学习从大量结果中提取规律、筛选参数并辅助解释。</w:t>
      </w:r>
    </w:p>
    <w:p w14:paraId="269C8E9A">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具体而言，平台首先采用 Gaussian 光束和 ABCD/q 矩阵快速描述光束经过透镜组后的传播状态；随后通过顺序几何光线追迹、公共出射面复场重建、数值衍射传播和模式重叠积分，获得光纤端面的入射复场及耦合效率。在此基础上，将透镜曲率半径和厚度作为重点研究变量，分析其变化如何影响输出光斑、波前曲率、焦面位置和模式匹配程度，建立结构参数与耦合效率之间的关系。</w:t>
      </w:r>
    </w:p>
    <w:p w14:paraId="5F177C71">
      <w:pPr>
        <w:pageBreakBefore w:val="0"/>
        <w:kinsoku/>
        <w:wordWrap/>
        <w:overflowPunct/>
        <w:topLinePunct w:val="0"/>
        <w:autoSpaceDE/>
        <w:autoSpaceDN/>
        <w:bidi w:val="0"/>
        <w:adjustRightInd/>
        <w:ind w:left="0" w:leftChars="0" w:firstLine="480" w:firstLineChars="200"/>
        <w:textAlignment w:val="auto"/>
      </w:pPr>
      <w:r>
        <w:t>机器学习的作用是对大量正式仿真数据进行规律总结和参数重要性分析，筛选理论上较优的参数组合；SHAP 和光学公式则用于解释模型判断对应的物理原因。最终形成“物理建模—正式仿真—参数研究—代理分析—参数筛选—物理解释”的研究链路，为激光耦合系统的学术研究和参数设计提供依据。</w:t>
      </w:r>
    </w:p>
    <w:p w14:paraId="230DD45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平台以 780 nm 四透镜单模光纤耦合案例作为</w:t>
      </w:r>
      <w:r>
        <w:rPr>
          <w:rFonts w:hint="eastAsia" w:ascii="宋体" w:hAnsi="宋体"/>
          <w:color w:val="000000"/>
        </w:rPr>
        <w:t>示例</w:t>
      </w:r>
      <w:r>
        <w:rPr>
          <w:rFonts w:ascii="宋体" w:hAnsi="宋体"/>
          <w:color w:val="000000"/>
        </w:rPr>
        <w:t>任务，并保留多波长光源、多种透镜面型和不同目标模场的扩展接口。当前研究重点聚焦于曲率半径和厚度，其他参数作为系统背景变量或后续扩展方向。</w:t>
      </w:r>
    </w:p>
    <w:p w14:paraId="6498E167">
      <w:pPr>
        <w:pageBreakBefore w:val="0"/>
        <w:kinsoku/>
        <w:wordWrap/>
        <w:overflowPunct/>
        <w:topLinePunct w:val="0"/>
        <w:autoSpaceDE/>
        <w:autoSpaceDN/>
        <w:bidi w:val="0"/>
        <w:adjustRightInd/>
        <w:ind w:left="0" w:leftChars="0" w:firstLine="480" w:firstLineChars="200"/>
        <w:textAlignment w:val="auto"/>
      </w:pPr>
      <w:r>
        <w:br w:type="page"/>
      </w:r>
    </w:p>
    <w:p w14:paraId="580C22A7">
      <w:pPr>
        <w:pStyle w:val="2"/>
        <w:pageBreakBefore w:val="0"/>
        <w:kinsoku/>
        <w:wordWrap/>
        <w:overflowPunct/>
        <w:topLinePunct w:val="0"/>
        <w:autoSpaceDE/>
        <w:autoSpaceDN/>
        <w:bidi w:val="0"/>
        <w:adjustRightInd/>
        <w:spacing w:before="312" w:after="312"/>
        <w:ind w:left="0" w:leftChars="0"/>
        <w:textAlignment w:val="auto"/>
      </w:pPr>
      <w:bookmarkStart w:id="12" w:name="_Toc21853"/>
      <w:r>
        <w:rPr>
          <w:rFonts w:hint="eastAsia"/>
        </w:rPr>
        <w:t>2物理模型与理论研究</w:t>
      </w:r>
      <w:bookmarkEnd w:id="12"/>
    </w:p>
    <w:p w14:paraId="649A52A2">
      <w:pPr>
        <w:pStyle w:val="3"/>
        <w:pageBreakBefore w:val="0"/>
        <w:kinsoku/>
        <w:wordWrap/>
        <w:overflowPunct/>
        <w:topLinePunct w:val="0"/>
        <w:autoSpaceDE/>
        <w:autoSpaceDN/>
        <w:bidi w:val="0"/>
        <w:adjustRightInd/>
        <w:spacing w:before="249" w:after="249"/>
        <w:ind w:left="0" w:leftChars="0"/>
        <w:textAlignment w:val="auto"/>
      </w:pPr>
      <w:bookmarkStart w:id="13" w:name="_Toc30129"/>
      <w:r>
        <w:rPr>
          <w:rFonts w:hint="eastAsia"/>
        </w:rPr>
        <w:t>2.1激光耦合光路研究</w:t>
      </w:r>
      <w:bookmarkEnd w:id="13"/>
    </w:p>
    <w:p w14:paraId="0F60F542">
      <w:pPr>
        <w:pageBreakBefore w:val="0"/>
        <w:kinsoku/>
        <w:wordWrap/>
        <w:overflowPunct/>
        <w:topLinePunct w:val="0"/>
        <w:autoSpaceDE/>
        <w:autoSpaceDN/>
        <w:bidi w:val="0"/>
        <w:adjustRightInd/>
        <w:ind w:left="0" w:leftChars="0" w:firstLine="480" w:firstLineChars="200"/>
        <w:textAlignment w:val="auto"/>
      </w:pPr>
      <w:r>
        <w:t>本研究以自由空间激光耦合单模光纤为对象，典型系统由激光光源、准直或整形透镜组、聚焦透镜和接收端光纤组成。标杆案例采用 780 nm 激光，经四片透镜完成光束整形和聚焦，最终在光纤端面形成与目标基模尽可能匹配的复光场。</w:t>
      </w:r>
    </w:p>
    <w:p w14:paraId="15ADA7B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在建模时，光源参数包括波长、束腰半径、束腰位置、M² 因子和功率分布；透镜参数包括面型、曲率半径、中心厚度、材料折射率、有效孔径和元件间距；光纤参数包括模场直径、数值孔径、端面位置以及横向偏移和角度倾斜。上述参数被统一纳入工程快照，保证几何视图、物理计算和分析结果使用同一套数据。</w:t>
      </w:r>
    </w:p>
    <w:p w14:paraId="4208D16E">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光路研究的核心不是只判断光线能否到达光纤，而是追踪光束在传播过程中的尺寸、方向、光程和相位变化，并将这些变化最终归结为模场尺寸失配、位置失配、角度失配、离焦失配和曲率失配。</w:t>
      </w:r>
    </w:p>
    <w:p w14:paraId="675745A5">
      <w:pPr>
        <w:pStyle w:val="3"/>
        <w:pageBreakBefore w:val="0"/>
        <w:kinsoku/>
        <w:wordWrap/>
        <w:overflowPunct/>
        <w:topLinePunct w:val="0"/>
        <w:autoSpaceDE/>
        <w:autoSpaceDN/>
        <w:bidi w:val="0"/>
        <w:adjustRightInd/>
        <w:spacing w:before="249" w:after="249"/>
        <w:ind w:left="0" w:leftChars="0"/>
        <w:textAlignment w:val="auto"/>
      </w:pPr>
      <w:bookmarkStart w:id="14" w:name="_Toc14387"/>
      <w:r>
        <w:rPr>
          <w:rFonts w:hint="eastAsia"/>
        </w:rPr>
        <w:t>2.2 Gaussian光源</w:t>
      </w:r>
      <w:bookmarkEnd w:id="14"/>
    </w:p>
    <w:p w14:paraId="1A17BF3C">
      <w:pPr>
        <w:pageBreakBefore w:val="0"/>
        <w:kinsoku/>
        <w:wordWrap/>
        <w:overflowPunct/>
        <w:topLinePunct w:val="0"/>
        <w:autoSpaceDE/>
        <w:autoSpaceDN/>
        <w:bidi w:val="0"/>
        <w:adjustRightInd/>
        <w:ind w:left="0" w:leftChars="0" w:firstLine="480" w:firstLineChars="200"/>
        <w:textAlignment w:val="auto"/>
      </w:pPr>
      <w:r>
        <w:t>在均匀介质中，单色标量电场满足亥姆霍兹方程 ∇²E+k²E=0。令光束主要沿 z 轴传播，并将电场表示为 E(x,y,z)=ψ(x,y,z)exp(ikz)，在包络变化相对缓慢的条件下可得到傍轴波动方程。Gaussian 光束是该方程的重要解析解，能够描述有限束腰、有限发散角和随传播变化的波前曲率。</w:t>
      </w:r>
    </w:p>
    <w:p w14:paraId="1C1010AE">
      <w:pPr>
        <w:pageBreakBefore w:val="0"/>
        <w:kinsoku/>
        <w:wordWrap/>
        <w:overflowPunct/>
        <w:topLinePunct w:val="0"/>
        <w:autoSpaceDE/>
        <w:autoSpaceDN/>
        <w:bidi w:val="0"/>
        <w:adjustRightInd/>
        <w:ind w:left="0" w:leftChars="0" w:firstLine="480" w:firstLineChars="200"/>
        <w:textAlignment w:val="auto"/>
      </w:pPr>
      <w:r>
        <w:t>对于圆对称 Gaussian 光束，横截面复场可写为 E(r,z)=E0 w0/w(z) · exp[-r²/w²(z)] · exp{i[kz+kr²/(2R(z))−ζ(z)]}。其中 w(z) 为光斑半径，R(z) 为波前曲率半径，ζ(z) 为 Gouy 相位。光斑半径和曲率由束腰 w0、瑞利长度 zR=πw0²/λ 共同决定。</w:t>
      </w:r>
      <w:r>
        <w:rPr>
          <w:rFonts w:hint="eastAsia"/>
        </w:rPr>
        <w:t>如图2-1所示。</w:t>
      </w:r>
    </w:p>
    <w:p w14:paraId="2F5C994F">
      <w:pPr>
        <w:pStyle w:val="9"/>
        <w:pageBreakBefore w:val="0"/>
        <w:kinsoku/>
        <w:wordWrap/>
        <w:overflowPunct/>
        <w:topLinePunct w:val="0"/>
        <w:autoSpaceDE/>
        <w:autoSpaceDN/>
        <w:bidi w:val="0"/>
        <w:adjustRightInd/>
        <w:ind w:left="0" w:leftChars="0"/>
        <w:textAlignment w:val="auto"/>
      </w:pPr>
      <w:r>
        <w:drawing>
          <wp:inline distT="0" distB="0" distL="0" distR="0">
            <wp:extent cx="5940425" cy="2227580"/>
            <wp:effectExtent l="0" t="0" r="3175" b="1270"/>
            <wp:docPr id="3114536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3609" name="图片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227580"/>
                    </a:xfrm>
                    <a:prstGeom prst="rect">
                      <a:avLst/>
                    </a:prstGeom>
                    <a:noFill/>
                    <a:ln>
                      <a:noFill/>
                    </a:ln>
                  </pic:spPr>
                </pic:pic>
              </a:graphicData>
            </a:graphic>
          </wp:inline>
        </w:drawing>
      </w:r>
    </w:p>
    <w:p w14:paraId="0E724B16">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 xml:space="preserve">2-1 </w:t>
      </w:r>
      <w:r>
        <w:rPr>
          <w:rFonts w:hint="eastAsia" w:ascii="宋体" w:hAnsi="宋体" w:cs="宋体"/>
          <w:sz w:val="21"/>
          <w:szCs w:val="21"/>
        </w:rPr>
        <w:t>Gaussian光源传播示意图</w:t>
      </w:r>
    </w:p>
    <w:p w14:paraId="51B7473C">
      <w:pPr>
        <w:pageBreakBefore w:val="0"/>
        <w:kinsoku/>
        <w:wordWrap/>
        <w:overflowPunct/>
        <w:topLinePunct w:val="0"/>
        <w:autoSpaceDE/>
        <w:autoSpaceDN/>
        <w:bidi w:val="0"/>
        <w:adjustRightInd/>
        <w:ind w:left="0" w:leftChars="0" w:firstLine="480" w:firstLineChars="200"/>
        <w:textAlignment w:val="auto"/>
      </w:pPr>
      <w:r>
        <w:t>实际半导体激光器常具有椭圆光束和不同方向的 M² 因子，因此平台允许分别设置 X、Y 两个方向的束腰、束腰位置和质量因子，并将理想 Gaussian 描述作为初始光源模型，后续通过复场传播和光线追迹补充有限孔径、折射和衍射等影响。</w:t>
      </w:r>
    </w:p>
    <w:p w14:paraId="7F34A422">
      <w:pPr>
        <w:pStyle w:val="3"/>
        <w:pageBreakBefore w:val="0"/>
        <w:kinsoku/>
        <w:wordWrap/>
        <w:overflowPunct/>
        <w:topLinePunct w:val="0"/>
        <w:autoSpaceDE/>
        <w:autoSpaceDN/>
        <w:bidi w:val="0"/>
        <w:adjustRightInd/>
        <w:spacing w:before="249" w:after="249"/>
        <w:ind w:left="0" w:leftChars="0"/>
        <w:textAlignment w:val="auto"/>
      </w:pPr>
      <w:bookmarkStart w:id="15" w:name="_Toc16929"/>
      <w:r>
        <w:rPr>
          <w:rFonts w:hint="eastAsia"/>
        </w:rPr>
        <w:t>2.3近轴光束理论</w:t>
      </w:r>
      <w:bookmarkEnd w:id="15"/>
    </w:p>
    <w:p w14:paraId="2189964D">
      <w:pPr>
        <w:pageBreakBefore w:val="0"/>
        <w:kinsoku/>
        <w:wordWrap/>
        <w:overflowPunct/>
        <w:topLinePunct w:val="0"/>
        <w:autoSpaceDE/>
        <w:autoSpaceDN/>
        <w:bidi w:val="0"/>
        <w:adjustRightInd/>
        <w:ind w:left="0" w:leftChars="0" w:firstLine="480" w:firstLineChars="200"/>
        <w:textAlignment w:val="auto"/>
      </w:pPr>
      <w:r>
        <w:t>近轴理论用光线高度 y 和相对于光轴的倾角 θ 描述一阶光学状态，</w:t>
      </w:r>
      <w:r>
        <w:rPr>
          <w:rFonts w:hint="eastAsia"/>
        </w:rPr>
        <w:t>如图n所示。</w:t>
      </w:r>
      <w:r>
        <w:t>写成列向量 r=[y,θ]ᵀ。任意一阶光学系统都可通过 2×2 矩阵把输入状态映射为输出状态：r₂=M r₁，其中 M=[[A,B],[C,D]]。A、B、C、D 分别表示输入高度和输入角度对输出光线状态的线性影响。</w:t>
      </w:r>
    </w:p>
    <w:p w14:paraId="3657DBD1">
      <w:pPr>
        <w:pageBreakBefore w:val="0"/>
        <w:kinsoku/>
        <w:wordWrap/>
        <w:overflowPunct/>
        <w:topLinePunct w:val="0"/>
        <w:autoSpaceDE/>
        <w:autoSpaceDN/>
        <w:bidi w:val="0"/>
        <w:adjustRightInd/>
        <w:ind w:left="0" w:leftChars="0" w:firstLine="480" w:firstLineChars="200"/>
        <w:textAlignment w:val="auto"/>
      </w:pPr>
      <w:r>
        <w:t>自由传播距离 d 的矩阵为 Mprop=[[1,d],[0,1]]；薄透镜焦距为 f 时的矩阵为 Mlens=[[1,0],[-1/f,1]]。对于多个光学元件，按光传播顺序将各段传播矩阵和元件矩阵相乘，即可快速得到系统的一阶传输关系。</w:t>
      </w:r>
    </w:p>
    <w:p w14:paraId="6398C494">
      <w:pPr>
        <w:pageBreakBefore w:val="0"/>
        <w:kinsoku/>
        <w:wordWrap/>
        <w:overflowPunct/>
        <w:topLinePunct w:val="0"/>
        <w:autoSpaceDE/>
        <w:autoSpaceDN/>
        <w:bidi w:val="0"/>
        <w:adjustRightInd/>
        <w:ind w:left="0" w:leftChars="0" w:firstLine="480" w:firstLineChars="200"/>
        <w:textAlignment w:val="auto"/>
      </w:pPr>
      <w:r>
        <w:t>ABCD 方法适合实时预览和参数初筛，可迅速给出束腰位置、输出光斑和发散趋势。但它基于近轴和理想元件假设，不能独立表示复杂面型、孔径截光和完整相位分布，因此正式结果还需要由顺序光线追迹和波动传播进一步计算。</w:t>
      </w:r>
    </w:p>
    <w:p w14:paraId="76BA51EE">
      <w:pPr>
        <w:pStyle w:val="9"/>
        <w:pageBreakBefore w:val="0"/>
        <w:kinsoku/>
        <w:wordWrap/>
        <w:overflowPunct/>
        <w:topLinePunct w:val="0"/>
        <w:autoSpaceDE/>
        <w:autoSpaceDN/>
        <w:bidi w:val="0"/>
        <w:adjustRightInd/>
        <w:ind w:left="0" w:leftChars="0"/>
        <w:textAlignment w:val="auto"/>
      </w:pPr>
      <w:r>
        <w:drawing>
          <wp:inline distT="0" distB="0" distL="0" distR="0">
            <wp:extent cx="5940425" cy="2105025"/>
            <wp:effectExtent l="0" t="0" r="3175" b="9525"/>
            <wp:docPr id="451627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7626" name="图片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0425" cy="2105025"/>
                    </a:xfrm>
                    <a:prstGeom prst="rect">
                      <a:avLst/>
                    </a:prstGeom>
                    <a:noFill/>
                    <a:ln>
                      <a:noFill/>
                    </a:ln>
                  </pic:spPr>
                </pic:pic>
              </a:graphicData>
            </a:graphic>
          </wp:inline>
        </w:drawing>
      </w:r>
    </w:p>
    <w:p w14:paraId="64E61470">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2-2</w:t>
      </w:r>
      <w:r>
        <w:rPr>
          <w:rFonts w:hint="eastAsia" w:ascii="宋体" w:hAnsi="宋体" w:cs="宋体"/>
          <w:sz w:val="21"/>
          <w:szCs w:val="21"/>
        </w:rPr>
        <w:t>近轴理论示意图</w:t>
      </w:r>
    </w:p>
    <w:p w14:paraId="69AB0BFD">
      <w:pPr>
        <w:pStyle w:val="3"/>
        <w:pageBreakBefore w:val="0"/>
        <w:kinsoku/>
        <w:wordWrap/>
        <w:overflowPunct/>
        <w:topLinePunct w:val="0"/>
        <w:autoSpaceDE/>
        <w:autoSpaceDN/>
        <w:bidi w:val="0"/>
        <w:adjustRightInd/>
        <w:spacing w:before="249" w:after="249"/>
        <w:ind w:left="0" w:leftChars="0"/>
        <w:textAlignment w:val="auto"/>
      </w:pPr>
      <w:bookmarkStart w:id="16" w:name="_Toc15399"/>
      <w:r>
        <w:rPr>
          <w:rFonts w:hint="eastAsia"/>
        </w:rPr>
        <w:t>2.4 ABCD矩阵与近轴光束传输</w:t>
      </w:r>
      <w:bookmarkEnd w:id="16"/>
    </w:p>
    <w:p w14:paraId="61F7DA0D">
      <w:pPr>
        <w:pageBreakBefore w:val="0"/>
        <w:kinsoku/>
        <w:wordWrap/>
        <w:overflowPunct/>
        <w:topLinePunct w:val="0"/>
        <w:autoSpaceDE/>
        <w:autoSpaceDN/>
        <w:bidi w:val="0"/>
        <w:adjustRightInd/>
        <w:ind w:left="0" w:leftChars="0" w:firstLine="480" w:firstLineChars="200"/>
        <w:textAlignment w:val="auto"/>
      </w:pPr>
      <w:r>
        <w:t>Gaussian 光束可以用复光束参数 q 表示，通常写为 1/q=1/R−iλ/(πw²)。在 ABCD 系统中，q 参数按照 q₂=(Aq₁+B)/(Cq₁+D) 变换。由 q 参数的实部和虚部可以恢复波前曲率 R 与光斑半径 w，因此矩阵传播不仅能追踪离散光线，也能快速估计连续光束状态。</w:t>
      </w:r>
    </w:p>
    <w:p w14:paraId="7C750933">
      <w:pPr>
        <w:pageBreakBefore w:val="0"/>
        <w:kinsoku/>
        <w:wordWrap/>
        <w:overflowPunct/>
        <w:topLinePunct w:val="0"/>
        <w:autoSpaceDE/>
        <w:autoSpaceDN/>
        <w:bidi w:val="0"/>
        <w:adjustRightInd/>
        <w:ind w:left="0" w:leftChars="0" w:firstLine="480" w:firstLineChars="200"/>
        <w:textAlignment w:val="auto"/>
      </w:pPr>
      <w:r>
        <w:t>在四透镜系统中，总矩阵由自由传播段、透镜面和介质界面矩阵按顺序级联。透镜曲率半径、中心厚度和空气间隔改变后，矩阵中的等效光焦度和传播距离同时改变，从而影响输出 q 参数。由此可以解释为什么厚度和镜间距并非简单的“位移参数”，而会通过焦面和曲率共同影响耦合效率。</w:t>
      </w:r>
    </w:p>
    <w:p w14:paraId="30EED99F">
      <w:pPr>
        <w:pageBreakBefore w:val="0"/>
        <w:kinsoku/>
        <w:wordWrap/>
        <w:overflowPunct/>
        <w:topLinePunct w:val="0"/>
        <w:autoSpaceDE/>
        <w:autoSpaceDN/>
        <w:bidi w:val="0"/>
        <w:adjustRightInd/>
        <w:ind w:left="0" w:leftChars="0" w:firstLine="480" w:firstLineChars="200"/>
        <w:textAlignment w:val="auto"/>
      </w:pPr>
      <w:r>
        <w:t>平台将 ABCD/q 结果作为正式仿真的物理基线：一方面用于实时显示和参数合理性检查，另一方面将光斑半径、束腰位置、曲率半径和失配比例提取为机器学习的物理特征。代理模型学习的是高精度结果相对于解析基线的差异，而不是从零学习全部光学规律。</w:t>
      </w:r>
    </w:p>
    <w:p w14:paraId="561F7869">
      <w:pPr>
        <w:pageBreakBefore w:val="0"/>
        <w:kinsoku/>
        <w:wordWrap/>
        <w:overflowPunct/>
        <w:topLinePunct w:val="0"/>
        <w:autoSpaceDE/>
        <w:autoSpaceDN/>
        <w:bidi w:val="0"/>
        <w:adjustRightInd/>
        <w:ind w:left="0" w:leftChars="0" w:firstLine="480" w:firstLineChars="200"/>
        <w:textAlignment w:val="auto"/>
      </w:pPr>
      <w:r>
        <w:t>对于柱面镜或 X/Y 方向不对称光束，平台可将两个正交方向分别建立 ABCD 链路，用 fx、fy 或对应曲率参数描述不同方向的聚焦能力，从而兼容椭圆光束和柱面光学元件的扩展研究。</w:t>
      </w:r>
    </w:p>
    <w:p w14:paraId="105B3135">
      <w:pPr>
        <w:pStyle w:val="3"/>
        <w:pageBreakBefore w:val="0"/>
        <w:kinsoku/>
        <w:wordWrap/>
        <w:overflowPunct/>
        <w:topLinePunct w:val="0"/>
        <w:autoSpaceDE/>
        <w:autoSpaceDN/>
        <w:bidi w:val="0"/>
        <w:adjustRightInd/>
        <w:spacing w:before="249" w:after="249"/>
        <w:ind w:left="0" w:leftChars="0"/>
        <w:textAlignment w:val="auto"/>
      </w:pPr>
      <w:bookmarkStart w:id="17" w:name="_Toc8725"/>
      <w:r>
        <w:rPr>
          <w:rFonts w:hint="eastAsia"/>
        </w:rPr>
        <w:t>2.5出瞳面复场重建</w:t>
      </w:r>
      <w:bookmarkEnd w:id="17"/>
    </w:p>
    <w:p w14:paraId="157B88A9">
      <w:pPr>
        <w:pageBreakBefore w:val="0"/>
        <w:kinsoku/>
        <w:wordWrap/>
        <w:overflowPunct/>
        <w:topLinePunct w:val="0"/>
        <w:autoSpaceDE/>
        <w:autoSpaceDN/>
        <w:bidi w:val="0"/>
        <w:adjustRightInd/>
        <w:ind w:left="0" w:leftChars="0" w:firstLine="480" w:firstLineChars="200"/>
        <w:textAlignment w:val="auto"/>
      </w:pPr>
      <w:r>
        <w:t>几何光线追迹只能得到有限数量的离散光线，无法直接作为模式重叠积分所需的连续复场。为实现几何光学到波动光学的衔接，平台在光路末端设置统一的公共出射面，将所有有效光线投影到同一平面，并记录其位置、方向、光程、振幅权重和偏振状态。</w:t>
      </w:r>
    </w:p>
    <w:p w14:paraId="3F367D08">
      <w:pPr>
        <w:pageBreakBefore w:val="0"/>
        <w:kinsoku/>
        <w:wordWrap/>
        <w:overflowPunct/>
        <w:topLinePunct w:val="0"/>
        <w:autoSpaceDE/>
        <w:autoSpaceDN/>
        <w:bidi w:val="0"/>
        <w:adjustRightInd/>
        <w:ind w:left="0" w:leftChars="0" w:firstLine="480" w:firstLineChars="200"/>
        <w:textAlignment w:val="auto"/>
      </w:pPr>
      <w:r>
        <w:rPr>
          <w:rFonts w:ascii="宋体" w:hAnsi="宋体"/>
          <w:color w:val="000000"/>
        </w:rPr>
        <w:t>光程差决定相位分布。设第 i 条光线的光程为 Lᵢ，波数为 k，则相对相位可写为 φᵢ=k(Lᵢ−Lref)。振幅权重由入射 Gaussian 功率分布、介面透射系数、孔径截取和局部方向因子共同决定。这样构造的离散复场同时包含强度信息和相位信息。</w:t>
      </w:r>
    </w:p>
    <w:p w14:paraId="28677A3E">
      <w:pPr>
        <w:pageBreakBefore w:val="0"/>
        <w:kinsoku/>
        <w:wordWrap/>
        <w:overflowPunct/>
        <w:topLinePunct w:val="0"/>
        <w:autoSpaceDE/>
        <w:autoSpaceDN/>
        <w:bidi w:val="0"/>
        <w:adjustRightInd/>
        <w:ind w:left="0" w:leftChars="0" w:firstLine="480" w:firstLineChars="200"/>
        <w:textAlignment w:val="auto"/>
      </w:pPr>
      <w:r>
        <w:t>随后将离散光线按照规则 Cartesian 网格进行沉积或插值，得到 Eₚ(x,y)=Aₚ(x,y)exp[iφₚ(x,y)]。程序同时记录有效光线比、边缘功率比和能量闭合误差，用于判断光瞳采样和网格参数是否足以支撑后续传播。</w:t>
      </w:r>
    </w:p>
    <w:p w14:paraId="24C96A4D">
      <w:pPr>
        <w:pageBreakBefore w:val="0"/>
        <w:kinsoku/>
        <w:wordWrap/>
        <w:overflowPunct/>
        <w:topLinePunct w:val="0"/>
        <w:autoSpaceDE/>
        <w:autoSpaceDN/>
        <w:bidi w:val="0"/>
        <w:adjustRightInd/>
        <w:ind w:left="0" w:leftChars="0" w:firstLine="480" w:firstLineChars="200"/>
        <w:textAlignment w:val="auto"/>
      </w:pPr>
      <w:r>
        <w:t>公共出射面是平台算法链中的关键接口：前端显示的几何光路来自光线追迹，后端的复场传播和模式重叠来自该平面的复场。两者共享同一工程快照，避免出现“图形位置正确但计算数据不一致”的问题。</w:t>
      </w:r>
    </w:p>
    <w:p w14:paraId="5DFFD447">
      <w:pPr>
        <w:pStyle w:val="3"/>
        <w:pageBreakBefore w:val="0"/>
        <w:kinsoku/>
        <w:wordWrap/>
        <w:overflowPunct/>
        <w:topLinePunct w:val="0"/>
        <w:autoSpaceDE/>
        <w:autoSpaceDN/>
        <w:bidi w:val="0"/>
        <w:adjustRightInd/>
        <w:spacing w:before="249" w:after="249"/>
        <w:ind w:left="0" w:leftChars="0"/>
        <w:textAlignment w:val="auto"/>
      </w:pPr>
      <w:bookmarkStart w:id="18" w:name="_Toc25083"/>
      <w:r>
        <w:rPr>
          <w:rFonts w:hint="eastAsia"/>
        </w:rPr>
        <w:t>2.6耦合效率计算</w:t>
      </w:r>
      <w:bookmarkEnd w:id="18"/>
    </w:p>
    <w:p w14:paraId="3A7F8C7F">
      <w:pPr>
        <w:pageBreakBefore w:val="0"/>
        <w:kinsoku/>
        <w:wordWrap/>
        <w:overflowPunct/>
        <w:topLinePunct w:val="0"/>
        <w:autoSpaceDE/>
        <w:autoSpaceDN/>
        <w:bidi w:val="0"/>
        <w:adjustRightInd/>
        <w:spacing w:line="348" w:lineRule="auto"/>
        <w:ind w:left="0" w:leftChars="0" w:firstLine="480" w:firstLineChars="200"/>
        <w:textAlignment w:val="auto"/>
      </w:pPr>
      <w:r>
        <w:t>设光纤端面的入射复场为 Eₛ(x,y)，光纤目标模式为 E_f(x,y)，则标量模式耦合效率由归一化复场重叠积分给出：ηmode=|∫∫EₛE_f* dA|²/[∫∫|Eₛ|²dA · ∫∫|E_f|²dA]。该表达式同时比较振幅和相位，因而能够识别“光斑强度相似但波前不匹配”的情况。</w:t>
      </w:r>
    </w:p>
    <w:p w14:paraId="4A3DC2C5">
      <w:pPr>
        <w:pageBreakBefore w:val="0"/>
        <w:kinsoku/>
        <w:wordWrap/>
        <w:overflowPunct/>
        <w:topLinePunct w:val="0"/>
        <w:autoSpaceDE/>
        <w:autoSpaceDN/>
        <w:bidi w:val="0"/>
        <w:adjustRightInd/>
        <w:spacing w:line="348" w:lineRule="auto"/>
        <w:ind w:left="0" w:leftChars="0" w:firstLine="480" w:firstLineChars="200"/>
        <w:textAlignment w:val="auto"/>
      </w:pPr>
      <w:r>
        <w:t>模式耦合效率用于描述端面复场与目标模式之间的匹配程度；系统总效率还需计入透镜组透过率、光纤端面反射、传播损耗和有效通光比例，可表示为 ηtotal=ηtransmission·ηmode·ηfacet·ηpropagation。报告中将二者分开显示，以避免把器件损耗误判为模场失配损耗。</w:t>
      </w:r>
    </w:p>
    <w:p w14:paraId="3E65E937">
      <w:pPr>
        <w:pageBreakBefore w:val="0"/>
        <w:kinsoku/>
        <w:wordWrap/>
        <w:overflowPunct/>
        <w:topLinePunct w:val="0"/>
        <w:autoSpaceDE/>
        <w:autoSpaceDN/>
        <w:bidi w:val="0"/>
        <w:adjustRightInd/>
        <w:spacing w:line="348" w:lineRule="auto"/>
        <w:ind w:left="0" w:leftChars="0" w:firstLine="480" w:firstLineChars="200"/>
        <w:textAlignment w:val="auto"/>
      </w:pPr>
      <w:r>
        <w:t>离散计算时，在相同二维网格上进行复数乘积、共轭和求和，并乘以网格面积 ΔxΔy。程序对入射场和目标模式分别归一化，检查网格尺寸、窗口范围和边缘功率，确保效率结果不因截断或欠采样产生明显偏差。</w:t>
      </w:r>
    </w:p>
    <w:p w14:paraId="66B0C12A">
      <w:pPr>
        <w:pageBreakBefore w:val="0"/>
        <w:kinsoku/>
        <w:wordWrap/>
        <w:overflowPunct/>
        <w:topLinePunct w:val="0"/>
        <w:autoSpaceDE/>
        <w:autoSpaceDN/>
        <w:bidi w:val="0"/>
        <w:adjustRightInd/>
        <w:spacing w:line="348" w:lineRule="auto"/>
        <w:ind w:left="0" w:leftChars="0" w:firstLine="480" w:firstLineChars="200"/>
        <w:textAlignment w:val="auto"/>
      </w:pPr>
      <w:r>
        <w:t>对于需要考虑偏振和纵向电场分量的情形，将标量场扩展为矢量电场，使用矢量内积进行重叠计算。当前以标量和工程矢量模式为主要研究路径，同时保留有限差分本征模接口。</w:t>
      </w:r>
    </w:p>
    <w:p w14:paraId="25EF4E76">
      <w:pPr>
        <w:pStyle w:val="3"/>
        <w:pageBreakBefore w:val="0"/>
        <w:kinsoku/>
        <w:wordWrap/>
        <w:overflowPunct/>
        <w:topLinePunct w:val="0"/>
        <w:autoSpaceDE/>
        <w:autoSpaceDN/>
        <w:bidi w:val="0"/>
        <w:adjustRightInd/>
        <w:spacing w:before="249" w:after="249"/>
        <w:ind w:left="0" w:leftChars="0"/>
        <w:textAlignment w:val="auto"/>
      </w:pPr>
      <w:bookmarkStart w:id="19" w:name="_Toc17447"/>
      <w:r>
        <w:rPr>
          <w:rFonts w:hint="eastAsia"/>
        </w:rPr>
        <w:t>2.7仿真算法</w:t>
      </w:r>
      <w:bookmarkEnd w:id="19"/>
    </w:p>
    <w:p w14:paraId="68A1D56A">
      <w:pPr>
        <w:pStyle w:val="4"/>
        <w:pageBreakBefore w:val="0"/>
        <w:kinsoku/>
        <w:wordWrap/>
        <w:overflowPunct/>
        <w:topLinePunct w:val="0"/>
        <w:autoSpaceDE/>
        <w:autoSpaceDN/>
        <w:bidi w:val="0"/>
        <w:adjustRightInd/>
        <w:spacing w:before="156" w:after="156"/>
        <w:ind w:left="0" w:leftChars="0"/>
        <w:textAlignment w:val="auto"/>
      </w:pPr>
      <w:bookmarkStart w:id="20" w:name="_Toc4925"/>
      <w:r>
        <w:rPr>
          <w:rFonts w:hint="eastAsia"/>
        </w:rPr>
        <w:t>2.7.1入射光数值衍射传播</w:t>
      </w:r>
      <w:bookmarkEnd w:id="20"/>
    </w:p>
    <w:p w14:paraId="23852777">
      <w:pPr>
        <w:pageBreakBefore w:val="0"/>
        <w:kinsoku/>
        <w:wordWrap/>
        <w:overflowPunct/>
        <w:topLinePunct w:val="0"/>
        <w:autoSpaceDE/>
        <w:autoSpaceDN/>
        <w:bidi w:val="0"/>
        <w:adjustRightInd/>
        <w:ind w:left="0" w:leftChars="0" w:firstLine="480" w:firstLineChars="200"/>
        <w:textAlignment w:val="auto"/>
      </w:pPr>
      <w:r>
        <w:t>入射光在公共出射面构造复场后，需要传播到光纤端面。角谱法将复场分解到空间频率域，在频域乘以传播传递函数 H(fx,fy)=exp[i k z √(1−(λfx)²−(λfy)²)]，再通过逆 Fourier 变换得到传播后的复场。该方法能够保留相位信息，适合一般自由空间传播。</w:t>
      </w:r>
    </w:p>
    <w:p w14:paraId="4647BF8B">
      <w:pPr>
        <w:pageBreakBefore w:val="0"/>
        <w:kinsoku/>
        <w:wordWrap/>
        <w:overflowPunct/>
        <w:topLinePunct w:val="0"/>
        <w:autoSpaceDE/>
        <w:autoSpaceDN/>
        <w:bidi w:val="0"/>
        <w:adjustRightInd/>
        <w:ind w:left="0" w:leftChars="0" w:firstLine="480" w:firstLineChars="200"/>
        <w:textAlignment w:val="auto"/>
      </w:pPr>
      <w:r>
        <w:t>对于频谱采样可能混叠的情况，平台采用带限角谱法限制有效空间频率；对于近轴、小角度和低 NA 情况，则可采用 Fresnel 传播进行快速估算。不同传播方法的适用范围、限制和平台定位见表 2-1。</w:t>
      </w:r>
    </w:p>
    <w:p w14:paraId="498C23FE">
      <w:pPr>
        <w:pageBreakBefore w:val="0"/>
        <w:kinsoku/>
        <w:wordWrap/>
        <w:overflowPunct/>
        <w:topLinePunct w:val="0"/>
        <w:autoSpaceDE/>
        <w:autoSpaceDN/>
        <w:bidi w:val="0"/>
        <w:adjustRightInd/>
        <w:ind w:left="0" w:leftChars="0" w:firstLine="480" w:firstLineChars="200"/>
        <w:textAlignment w:val="auto"/>
      </w:pPr>
      <w:r>
        <w:t>传播过程同时进行采样诊断，包括边缘功率比、能量闭合误差和网格收敛检查。只有当传播窗口能够覆盖主要能量、采样间隔满足空间频率要求且相邻网格结果趋于稳定时，才将其作为正式定量结果。</w:t>
      </w:r>
    </w:p>
    <w:p w14:paraId="204DA1B7">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2-1</w:t>
      </w:r>
    </w:p>
    <w:tbl>
      <w:tblPr>
        <w:tblStyle w:val="15"/>
        <w:tblW w:w="9355" w:type="dxa"/>
        <w:jc w:val="center"/>
        <w:tblLayout w:type="autofit"/>
        <w:tblCellMar>
          <w:top w:w="0" w:type="dxa"/>
          <w:left w:w="0" w:type="dxa"/>
          <w:bottom w:w="0" w:type="dxa"/>
          <w:right w:w="0" w:type="dxa"/>
        </w:tblCellMar>
      </w:tblPr>
      <w:tblGrid>
        <w:gridCol w:w="1395"/>
        <w:gridCol w:w="3090"/>
        <w:gridCol w:w="3234"/>
        <w:gridCol w:w="1636"/>
      </w:tblGrid>
      <w:tr w14:paraId="6973801A">
        <w:tblPrEx>
          <w:tblCellMar>
            <w:top w:w="0" w:type="dxa"/>
            <w:left w:w="0" w:type="dxa"/>
            <w:bottom w:w="0" w:type="dxa"/>
            <w:right w:w="0" w:type="dxa"/>
          </w:tblCellMar>
        </w:tblPrEx>
        <w:trPr>
          <w:trHeight w:val="623" w:hRule="atLeast"/>
          <w:tblHeader/>
          <w:jc w:val="center"/>
        </w:trPr>
        <w:tc>
          <w:tcPr>
            <w:tcW w:w="139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D41A6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方法</w:t>
            </w:r>
          </w:p>
        </w:tc>
        <w:tc>
          <w:tcPr>
            <w:tcW w:w="3090"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3A90C4C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适用情况</w:t>
            </w:r>
          </w:p>
        </w:tc>
        <w:tc>
          <w:tcPr>
            <w:tcW w:w="3234"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ED98AC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4874CB" w:themeColor="accent1"/>
                <w14:textFill>
                  <w14:solidFill>
                    <w14:schemeClr w14:val="accent1"/>
                  </w14:solidFill>
                </w14:textFill>
              </w:rPr>
            </w:pPr>
            <w:r>
              <w:rPr>
                <w:rFonts w:hint="eastAsia" w:ascii="宋体" w:hAnsi="宋体" w:cs="宋体"/>
                <w:color w:val="0D0D0D" w:themeColor="text1" w:themeTint="F2"/>
                <w14:textFill>
                  <w14:solidFill>
                    <w14:schemeClr w14:val="tx1">
                      <w14:lumMod w14:val="95000"/>
                      <w14:lumOff w14:val="5000"/>
                    </w14:schemeClr>
                  </w14:solidFill>
                </w14:textFill>
              </w:rPr>
              <w:t>主要限制</w:t>
            </w:r>
          </w:p>
        </w:tc>
        <w:tc>
          <w:tcPr>
            <w:tcW w:w="1636" w:type="dxa"/>
            <w:tcBorders>
              <w:top w:val="single" w:color="000000" w:themeColor="dark1" w:sz="12" w:space="0"/>
              <w:left w:val="nil"/>
              <w:bottom w:val="single" w:color="000000" w:themeColor="dark1" w:sz="6" w:space="0"/>
              <w:right w:val="nil"/>
            </w:tcBorders>
            <w:shd w:val="clear" w:color="auto" w:fill="FFFFFF"/>
            <w:tcMar>
              <w:top w:w="-1" w:type="dxa"/>
              <w:left w:w="-1" w:type="dxa"/>
              <w:bottom w:w="-1" w:type="dxa"/>
              <w:right w:w="-1" w:type="dxa"/>
            </w:tcMar>
            <w:vAlign w:val="center"/>
          </w:tcPr>
          <w:p w14:paraId="5AAE3D5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00000" w:themeColor="dark1"/>
                <w14:textFill>
                  <w14:solidFill>
                    <w14:schemeClr w14:val="dk1"/>
                  </w14:solidFill>
                </w14:textFill>
              </w:rPr>
            </w:pPr>
            <w:r>
              <w:rPr>
                <w:rFonts w:hint="eastAsia" w:ascii="宋体" w:hAnsi="宋体" w:cs="宋体"/>
                <w:color w:val="000000" w:themeColor="dark1"/>
                <w14:textFill>
                  <w14:solidFill>
                    <w14:schemeClr w14:val="dk1"/>
                  </w14:solidFill>
                </w14:textFill>
              </w:rPr>
              <w:t>作用</w:t>
            </w:r>
          </w:p>
        </w:tc>
      </w:tr>
      <w:tr w14:paraId="10663A45">
        <w:tblPrEx>
          <w:tblCellMar>
            <w:top w:w="0" w:type="dxa"/>
            <w:left w:w="0" w:type="dxa"/>
            <w:bottom w:w="0" w:type="dxa"/>
            <w:right w:w="0" w:type="dxa"/>
          </w:tblCellMar>
        </w:tblPrEx>
        <w:trPr>
          <w:trHeight w:val="1048" w:hRule="atLeast"/>
          <w:jc w:val="center"/>
        </w:trPr>
        <w:tc>
          <w:tcPr>
            <w:tcW w:w="139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F06555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角谱法</w:t>
            </w:r>
          </w:p>
        </w:tc>
        <w:tc>
          <w:tcPr>
            <w:tcW w:w="3090"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103BF2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一般自由空间传播、非严格近轴情况</w:t>
            </w:r>
          </w:p>
        </w:tc>
        <w:tc>
          <w:tcPr>
            <w:tcW w:w="323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07C9BE0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受网格、窗口和传播</w:t>
            </w:r>
          </w:p>
          <w:p w14:paraId="618C9BA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距离影响，可能混叠</w:t>
            </w:r>
          </w:p>
        </w:tc>
        <w:tc>
          <w:tcPr>
            <w:tcW w:w="16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6A3BBA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主要传播方法</w:t>
            </w:r>
          </w:p>
        </w:tc>
      </w:tr>
      <w:tr w14:paraId="690DB0D7">
        <w:tblPrEx>
          <w:tblCellMar>
            <w:top w:w="0" w:type="dxa"/>
            <w:left w:w="0" w:type="dxa"/>
            <w:bottom w:w="0" w:type="dxa"/>
            <w:right w:w="0" w:type="dxa"/>
          </w:tblCellMar>
        </w:tblPrEx>
        <w:trPr>
          <w:trHeight w:val="949" w:hRule="atLeast"/>
          <w:jc w:val="center"/>
        </w:trPr>
        <w:tc>
          <w:tcPr>
            <w:tcW w:w="1396" w:type="dxa"/>
            <w:tcBorders>
              <w:top w:val="nil"/>
              <w:left w:val="nil"/>
              <w:bottom w:val="nil"/>
              <w:right w:val="nil"/>
            </w:tcBorders>
            <w:shd w:val="clear" w:color="auto" w:fill="FFFFFF"/>
            <w:tcMar>
              <w:top w:w="-1" w:type="dxa"/>
              <w:left w:w="-1" w:type="dxa"/>
              <w:bottom w:w="-1" w:type="dxa"/>
              <w:right w:w="-1" w:type="dxa"/>
            </w:tcMar>
            <w:vAlign w:val="center"/>
          </w:tcPr>
          <w:p w14:paraId="3CD621F0">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带限角谱法</w:t>
            </w:r>
          </w:p>
        </w:tc>
        <w:tc>
          <w:tcPr>
            <w:tcW w:w="3090" w:type="dxa"/>
            <w:tcBorders>
              <w:top w:val="nil"/>
              <w:left w:val="nil"/>
              <w:bottom w:val="nil"/>
              <w:right w:val="nil"/>
            </w:tcBorders>
            <w:shd w:val="clear" w:color="auto" w:fill="FFFFFF"/>
            <w:tcMar>
              <w:top w:w="-1" w:type="dxa"/>
              <w:left w:w="-1" w:type="dxa"/>
              <w:bottom w:w="-1" w:type="dxa"/>
              <w:right w:w="-1" w:type="dxa"/>
            </w:tcMar>
            <w:vAlign w:val="center"/>
          </w:tcPr>
          <w:p w14:paraId="7DE0C8DA">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普通角谱法存在频</w:t>
            </w:r>
          </w:p>
          <w:p w14:paraId="33865D24">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谱欠采样时</w:t>
            </w:r>
          </w:p>
        </w:tc>
        <w:tc>
          <w:tcPr>
            <w:tcW w:w="3234" w:type="dxa"/>
            <w:tcBorders>
              <w:top w:val="nil"/>
              <w:left w:val="nil"/>
              <w:bottom w:val="nil"/>
              <w:right w:val="nil"/>
            </w:tcBorders>
            <w:shd w:val="clear" w:color="auto" w:fill="FFFFFF"/>
            <w:tcMar>
              <w:top w:w="-1" w:type="dxa"/>
              <w:left w:w="-1" w:type="dxa"/>
              <w:bottom w:w="-1" w:type="dxa"/>
              <w:right w:w="-1" w:type="dxa"/>
            </w:tcMar>
            <w:vAlign w:val="center"/>
          </w:tcPr>
          <w:p w14:paraId="44AFF0F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会限制部分空间频率，截止范围需合理设置</w:t>
            </w:r>
          </w:p>
        </w:tc>
        <w:tc>
          <w:tcPr>
            <w:tcW w:w="1636" w:type="dxa"/>
            <w:tcBorders>
              <w:top w:val="nil"/>
              <w:left w:val="nil"/>
              <w:bottom w:val="nil"/>
              <w:right w:val="nil"/>
            </w:tcBorders>
            <w:shd w:val="clear" w:color="auto" w:fill="FFFFFF"/>
            <w:tcMar>
              <w:top w:w="-1" w:type="dxa"/>
              <w:left w:w="-1" w:type="dxa"/>
              <w:bottom w:w="-1" w:type="dxa"/>
              <w:right w:w="-1" w:type="dxa"/>
            </w:tcMar>
            <w:vAlign w:val="center"/>
          </w:tcPr>
          <w:p w14:paraId="2CBCFB9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抑制数值混叠</w:t>
            </w:r>
          </w:p>
        </w:tc>
      </w:tr>
      <w:tr w14:paraId="3E165915">
        <w:tblPrEx>
          <w:tblCellMar>
            <w:top w:w="0" w:type="dxa"/>
            <w:left w:w="0" w:type="dxa"/>
            <w:bottom w:w="0" w:type="dxa"/>
            <w:right w:w="0" w:type="dxa"/>
          </w:tblCellMar>
        </w:tblPrEx>
        <w:trPr>
          <w:trHeight w:val="1058" w:hRule="atLeast"/>
          <w:jc w:val="center"/>
        </w:trPr>
        <w:tc>
          <w:tcPr>
            <w:tcW w:w="139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D461D2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cs="Times New Roman"/>
                <w:color w:val="08090C"/>
              </w:rPr>
              <w:t>Fresnel</w:t>
            </w:r>
            <w:r>
              <w:rPr>
                <w:rFonts w:hint="eastAsia" w:ascii="宋体" w:hAnsi="宋体" w:cs="宋体"/>
                <w:color w:val="08090C"/>
              </w:rPr>
              <w:t>法</w:t>
            </w:r>
          </w:p>
        </w:tc>
        <w:tc>
          <w:tcPr>
            <w:tcW w:w="3090"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15D8E3A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近轴、小角度、低NA传播</w:t>
            </w:r>
          </w:p>
        </w:tc>
        <w:tc>
          <w:tcPr>
            <w:tcW w:w="323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3CA1E431">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不适合大角度和明显</w:t>
            </w:r>
          </w:p>
          <w:p w14:paraId="29BC0EE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非近轴情况</w:t>
            </w:r>
          </w:p>
        </w:tc>
        <w:tc>
          <w:tcPr>
            <w:tcW w:w="16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2E95A637">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color w:val="08090C"/>
              </w:rPr>
            </w:pPr>
            <w:r>
              <w:rPr>
                <w:rFonts w:hint="eastAsia" w:ascii="宋体" w:hAnsi="宋体" w:cs="宋体"/>
                <w:color w:val="08090C"/>
              </w:rPr>
              <w:t>快速估算</w:t>
            </w:r>
          </w:p>
        </w:tc>
      </w:tr>
    </w:tbl>
    <w:p w14:paraId="7A6450F1">
      <w:pPr>
        <w:pageBreakBefore w:val="0"/>
        <w:kinsoku/>
        <w:wordWrap/>
        <w:overflowPunct/>
        <w:topLinePunct w:val="0"/>
        <w:autoSpaceDE/>
        <w:autoSpaceDN/>
        <w:bidi w:val="0"/>
        <w:adjustRightInd/>
        <w:ind w:left="0" w:leftChars="0" w:firstLine="480" w:firstLineChars="200"/>
        <w:textAlignment w:val="auto"/>
      </w:pPr>
    </w:p>
    <w:p w14:paraId="75823757">
      <w:pPr>
        <w:pStyle w:val="4"/>
        <w:pageBreakBefore w:val="0"/>
        <w:kinsoku/>
        <w:wordWrap/>
        <w:overflowPunct/>
        <w:topLinePunct w:val="0"/>
        <w:autoSpaceDE/>
        <w:autoSpaceDN/>
        <w:bidi w:val="0"/>
        <w:adjustRightInd/>
        <w:spacing w:before="156" w:after="156"/>
        <w:ind w:left="0" w:leftChars="0"/>
        <w:textAlignment w:val="auto"/>
      </w:pPr>
      <w:bookmarkStart w:id="21" w:name="_Toc29599"/>
      <w:r>
        <w:rPr>
          <w:rFonts w:hint="eastAsia"/>
        </w:rPr>
        <w:t>2.7.2光纤模场构造</w:t>
      </w:r>
      <w:bookmarkEnd w:id="21"/>
    </w:p>
    <w:p w14:paraId="1F92064F">
      <w:pPr>
        <w:pageBreakBefore w:val="0"/>
        <w:kinsoku/>
        <w:wordWrap/>
        <w:overflowPunct/>
        <w:topLinePunct w:val="0"/>
        <w:autoSpaceDE/>
        <w:autoSpaceDN/>
        <w:bidi w:val="0"/>
        <w:adjustRightInd/>
        <w:ind w:left="0" w:leftChars="0" w:firstLine="480" w:firstLineChars="200"/>
        <w:textAlignment w:val="auto"/>
      </w:pPr>
      <w:r>
        <w:t>当只掌握光纤模场直径而缺少完整折射率分布时，平台采用归一化 Gaussian 模式作为快速目标模式。设模场半径 wf=MFD/2，则 Ef(x,y)=Cf exp[−(x²+y²)/wf²]，其中 Cf 由功率归一化条件确定。对于椭圆模场，可分别使用 wfx 和 wfy 描述两个方向。</w:t>
      </w:r>
    </w:p>
    <w:p w14:paraId="4008C85C">
      <w:pPr>
        <w:pageBreakBefore w:val="0"/>
        <w:kinsoku/>
        <w:wordWrap/>
        <w:overflowPunct/>
        <w:topLinePunct w:val="0"/>
        <w:autoSpaceDE/>
        <w:autoSpaceDN/>
        <w:bidi w:val="0"/>
        <w:adjustRightInd/>
        <w:ind w:left="0" w:leftChars="0" w:firstLine="480" w:firstLineChars="200"/>
        <w:textAlignment w:val="auto"/>
      </w:pPr>
      <w:r>
        <w:t>对于弱导、圆形阶跃型光纤，可依据归一化频率 V=2πa NA/λ 构造 LP01 标量模式；对于需要考虑偏振和纵向场的研究，可使用工程 HE11 矢量模式。平台根据数据完整程度和研究目标选择不同模式，避免在缺少材料信息时人为引入过多不可确定参数。</w:t>
      </w:r>
    </w:p>
    <w:p w14:paraId="2BFB4C16">
      <w:pPr>
        <w:pageBreakBefore w:val="0"/>
        <w:kinsoku/>
        <w:wordWrap/>
        <w:overflowPunct/>
        <w:topLinePunct w:val="0"/>
        <w:autoSpaceDE/>
        <w:autoSpaceDN/>
        <w:bidi w:val="0"/>
        <w:adjustRightInd/>
        <w:ind w:left="0" w:leftChars="0" w:firstLine="480" w:firstLineChars="200"/>
        <w:textAlignment w:val="auto"/>
      </w:pPr>
      <w:r>
        <w:t>目标模式必须与入射复场使用相同坐标原点、采样间隔、窗口范围和传播方向。平台在模式重叠前执行网格对齐和归一化，并将模式中心、偏移、倾角和模场半径作为可追溯参数保存。三类模式的适用条件与平台定位见表 2-2。</w:t>
      </w:r>
    </w:p>
    <w:p w14:paraId="62A2B996">
      <w:pPr>
        <w:pageBreakBefore w:val="0"/>
        <w:kinsoku/>
        <w:wordWrap/>
        <w:overflowPunct/>
        <w:topLinePunct w:val="0"/>
        <w:autoSpaceDE/>
        <w:autoSpaceDN/>
        <w:bidi w:val="0"/>
        <w:adjustRightInd/>
        <w:ind w:left="0" w:leftChars="0" w:firstLine="420" w:firstLineChars="200"/>
        <w:jc w:val="center"/>
        <w:textAlignment w:val="auto"/>
        <w:rPr>
          <w:rFonts w:hint="eastAsia" w:ascii="宋体" w:hAnsi="宋体" w:cs="宋体"/>
          <w:sz w:val="21"/>
          <w:szCs w:val="21"/>
        </w:rPr>
      </w:pPr>
      <w:r>
        <w:rPr>
          <w:rFonts w:hint="eastAsia" w:ascii="宋体" w:hAnsi="宋体" w:cs="宋体"/>
          <w:color w:val="000000"/>
          <w:sz w:val="21"/>
          <w:szCs w:val="21"/>
        </w:rPr>
        <w:t>表</w:t>
      </w:r>
      <w:r>
        <w:rPr>
          <w:rFonts w:cs="Times New Roman"/>
          <w:color w:val="000000"/>
          <w:sz w:val="21"/>
          <w:szCs w:val="21"/>
        </w:rPr>
        <w:t>2-2</w:t>
      </w:r>
    </w:p>
    <w:tbl>
      <w:tblPr>
        <w:tblStyle w:val="15"/>
        <w:tblW w:w="9355" w:type="dxa"/>
        <w:jc w:val="center"/>
        <w:tblLayout w:type="autofit"/>
        <w:tblCellMar>
          <w:top w:w="0" w:type="dxa"/>
          <w:left w:w="0" w:type="dxa"/>
          <w:bottom w:w="0" w:type="dxa"/>
          <w:right w:w="0" w:type="dxa"/>
        </w:tblCellMar>
      </w:tblPr>
      <w:tblGrid>
        <w:gridCol w:w="2397"/>
        <w:gridCol w:w="5494"/>
        <w:gridCol w:w="1464"/>
      </w:tblGrid>
      <w:tr w14:paraId="6734B600">
        <w:tblPrEx>
          <w:tblCellMar>
            <w:top w:w="0" w:type="dxa"/>
            <w:left w:w="0" w:type="dxa"/>
            <w:bottom w:w="0" w:type="dxa"/>
            <w:right w:w="0" w:type="dxa"/>
          </w:tblCellMar>
        </w:tblPrEx>
        <w:trPr>
          <w:trHeight w:val="442" w:hRule="atLeast"/>
          <w:tblHeader/>
          <w:jc w:val="center"/>
        </w:trPr>
        <w:tc>
          <w:tcPr>
            <w:tcW w:w="2397" w:type="dxa"/>
            <w:tcBorders>
              <w:top w:val="single" w:color="auto" w:sz="12" w:space="0"/>
              <w:left w:val="nil"/>
              <w:bottom w:val="nil"/>
              <w:right w:val="nil"/>
            </w:tcBorders>
            <w:tcMar>
              <w:top w:w="-1" w:type="dxa"/>
              <w:left w:w="-1" w:type="dxa"/>
              <w:bottom w:w="-1" w:type="dxa"/>
              <w:right w:w="-1" w:type="dxa"/>
            </w:tcMar>
            <w:vAlign w:val="center"/>
          </w:tcPr>
          <w:p w14:paraId="17B6A84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模型或方法</w:t>
            </w:r>
          </w:p>
        </w:tc>
        <w:tc>
          <w:tcPr>
            <w:tcW w:w="5494" w:type="dxa"/>
            <w:tcBorders>
              <w:top w:val="single" w:color="auto" w:sz="12" w:space="0"/>
              <w:left w:val="nil"/>
              <w:bottom w:val="nil"/>
              <w:right w:val="nil"/>
            </w:tcBorders>
            <w:tcMar>
              <w:top w:w="-1" w:type="dxa"/>
              <w:left w:w="-1" w:type="dxa"/>
              <w:bottom w:w="-1" w:type="dxa"/>
              <w:right w:w="-1" w:type="dxa"/>
            </w:tcMar>
            <w:vAlign w:val="center"/>
          </w:tcPr>
          <w:p w14:paraId="55627E23">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适用条件</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3E8DF675">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b/>
              </w:rPr>
            </w:pPr>
            <w:r>
              <w:rPr>
                <w:rFonts w:hint="eastAsia" w:ascii="宋体" w:hAnsi="宋体" w:cs="宋体"/>
                <w:bCs/>
              </w:rPr>
              <w:t>平台定位</w:t>
            </w:r>
          </w:p>
        </w:tc>
      </w:tr>
      <w:tr w14:paraId="0017857F">
        <w:tblPrEx>
          <w:tblCellMar>
            <w:top w:w="0" w:type="dxa"/>
            <w:left w:w="0" w:type="dxa"/>
            <w:bottom w:w="0" w:type="dxa"/>
            <w:right w:w="0" w:type="dxa"/>
          </w:tblCellMar>
        </w:tblPrEx>
        <w:trPr>
          <w:trHeight w:val="551" w:hRule="atLeast"/>
          <w:jc w:val="center"/>
        </w:trPr>
        <w:tc>
          <w:tcPr>
            <w:tcW w:w="2397" w:type="dxa"/>
            <w:tcBorders>
              <w:top w:val="single" w:color="auto" w:sz="4" w:space="0"/>
              <w:left w:val="nil"/>
              <w:bottom w:val="nil"/>
              <w:right w:val="nil"/>
            </w:tcBorders>
            <w:tcMar>
              <w:top w:w="-1" w:type="dxa"/>
              <w:left w:w="-1" w:type="dxa"/>
              <w:bottom w:w="-1" w:type="dxa"/>
              <w:right w:w="-1" w:type="dxa"/>
            </w:tcMar>
            <w:vAlign w:val="center"/>
          </w:tcPr>
          <w:p w14:paraId="6C37137C">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Gaussian</w:t>
            </w:r>
            <w:r>
              <w:rPr>
                <w:rFonts w:hint="eastAsia" w:ascii="宋体" w:hAnsi="宋体" w:cs="宋体"/>
              </w:rPr>
              <w:t>近似</w:t>
            </w:r>
          </w:p>
        </w:tc>
        <w:tc>
          <w:tcPr>
            <w:tcW w:w="5494" w:type="dxa"/>
            <w:tcBorders>
              <w:top w:val="single" w:color="auto" w:sz="4" w:space="0"/>
              <w:left w:val="nil"/>
              <w:bottom w:val="nil"/>
              <w:right w:val="nil"/>
            </w:tcBorders>
            <w:tcMar>
              <w:top w:w="-1" w:type="dxa"/>
              <w:left w:w="-1" w:type="dxa"/>
              <w:bottom w:w="-1" w:type="dxa"/>
              <w:right w:w="-1" w:type="dxa"/>
            </w:tcMar>
            <w:vAlign w:val="center"/>
          </w:tcPr>
          <w:p w14:paraId="17F3750F">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基模接近高斯分布的弱导单模光纤</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71DE816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快速估算</w:t>
            </w:r>
          </w:p>
        </w:tc>
      </w:tr>
      <w:tr w14:paraId="0E102772">
        <w:tblPrEx>
          <w:tblCellMar>
            <w:top w:w="0" w:type="dxa"/>
            <w:left w:w="0" w:type="dxa"/>
            <w:bottom w:w="0" w:type="dxa"/>
            <w:right w:w="0" w:type="dxa"/>
          </w:tblCellMar>
        </w:tblPrEx>
        <w:trPr>
          <w:trHeight w:val="563" w:hRule="atLeast"/>
          <w:jc w:val="center"/>
        </w:trPr>
        <w:tc>
          <w:tcPr>
            <w:tcW w:w="2397" w:type="dxa"/>
            <w:tcBorders>
              <w:top w:val="nil"/>
              <w:left w:val="nil"/>
              <w:bottom w:val="nil"/>
              <w:right w:val="nil"/>
            </w:tcBorders>
            <w:tcMar>
              <w:top w:w="-1" w:type="dxa"/>
              <w:left w:w="-1" w:type="dxa"/>
              <w:bottom w:w="-1" w:type="dxa"/>
              <w:right w:w="-1" w:type="dxa"/>
            </w:tcMar>
            <w:vAlign w:val="center"/>
          </w:tcPr>
          <w:p w14:paraId="2168FF6D">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LP01</w:t>
            </w:r>
            <w:r>
              <w:rPr>
                <w:rFonts w:hint="eastAsia" w:ascii="宋体" w:hAnsi="宋体" w:cs="宋体"/>
              </w:rPr>
              <w:t>标量模式</w:t>
            </w:r>
          </w:p>
        </w:tc>
        <w:tc>
          <w:tcPr>
            <w:tcW w:w="5494" w:type="dxa"/>
            <w:tcBorders>
              <w:top w:val="nil"/>
              <w:left w:val="nil"/>
              <w:bottom w:val="nil"/>
              <w:right w:val="nil"/>
            </w:tcBorders>
            <w:tcMar>
              <w:top w:w="-1" w:type="dxa"/>
              <w:left w:w="-1" w:type="dxa"/>
              <w:bottom w:w="-1" w:type="dxa"/>
              <w:right w:w="-1" w:type="dxa"/>
            </w:tcMar>
            <w:vAlign w:val="center"/>
          </w:tcPr>
          <w:p w14:paraId="541BCB7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弱导、圆形阶跃型光纤</w:t>
            </w:r>
          </w:p>
        </w:tc>
        <w:tc>
          <w:tcPr>
            <w:tcW w:w="1464" w:type="dxa"/>
            <w:tcBorders>
              <w:top w:val="nil"/>
              <w:left w:val="nil"/>
              <w:bottom w:val="nil"/>
              <w:right w:val="nil"/>
            </w:tcBorders>
            <w:tcMar>
              <w:top w:w="-1" w:type="dxa"/>
              <w:left w:w="-1" w:type="dxa"/>
              <w:bottom w:w="-1" w:type="dxa"/>
              <w:right w:w="-1" w:type="dxa"/>
            </w:tcMar>
            <w:vAlign w:val="center"/>
          </w:tcPr>
          <w:p w14:paraId="49599E06">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工程计算</w:t>
            </w:r>
          </w:p>
        </w:tc>
      </w:tr>
      <w:tr w14:paraId="53DF57DD">
        <w:tblPrEx>
          <w:tblCellMar>
            <w:top w:w="0" w:type="dxa"/>
            <w:left w:w="0" w:type="dxa"/>
            <w:bottom w:w="0" w:type="dxa"/>
            <w:right w:w="0" w:type="dxa"/>
          </w:tblCellMar>
        </w:tblPrEx>
        <w:trPr>
          <w:trHeight w:val="584" w:hRule="atLeast"/>
          <w:jc w:val="center"/>
        </w:trPr>
        <w:tc>
          <w:tcPr>
            <w:tcW w:w="2397" w:type="dxa"/>
            <w:tcBorders>
              <w:top w:val="nil"/>
              <w:left w:val="nil"/>
              <w:bottom w:val="single" w:color="auto" w:sz="12" w:space="0"/>
              <w:right w:val="nil"/>
            </w:tcBorders>
            <w:tcMar>
              <w:top w:w="-1" w:type="dxa"/>
              <w:left w:w="-1" w:type="dxa"/>
              <w:bottom w:w="-1" w:type="dxa"/>
              <w:right w:w="-1" w:type="dxa"/>
            </w:tcMar>
            <w:vAlign w:val="center"/>
          </w:tcPr>
          <w:p w14:paraId="1CC5FD09">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cs="Times New Roman"/>
              </w:rPr>
              <w:t>HE11</w:t>
            </w:r>
            <w:r>
              <w:rPr>
                <w:rFonts w:hint="eastAsia" w:ascii="宋体" w:hAnsi="宋体" w:cs="宋体"/>
              </w:rPr>
              <w:t>矢量模式</w:t>
            </w:r>
          </w:p>
        </w:tc>
        <w:tc>
          <w:tcPr>
            <w:tcW w:w="5494" w:type="dxa"/>
            <w:tcBorders>
              <w:top w:val="nil"/>
              <w:left w:val="nil"/>
              <w:bottom w:val="single" w:color="auto" w:sz="12" w:space="0"/>
              <w:right w:val="nil"/>
            </w:tcBorders>
            <w:tcMar>
              <w:top w:w="-1" w:type="dxa"/>
              <w:left w:w="-1" w:type="dxa"/>
              <w:bottom w:w="-1" w:type="dxa"/>
              <w:right w:w="-1" w:type="dxa"/>
            </w:tcMar>
            <w:vAlign w:val="center"/>
          </w:tcPr>
          <w:p w14:paraId="7288F3B8">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圆形光纤，需要考虑偏振和纵向场</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0AFAD58E">
            <w:pPr>
              <w:pageBreakBefore w:val="0"/>
              <w:kinsoku/>
              <w:wordWrap/>
              <w:overflowPunct/>
              <w:topLinePunct w:val="0"/>
              <w:autoSpaceDE/>
              <w:autoSpaceDN/>
              <w:bidi w:val="0"/>
              <w:adjustRightInd/>
              <w:snapToGrid w:val="0"/>
              <w:spacing w:line="240" w:lineRule="auto"/>
              <w:ind w:left="0" w:leftChars="0"/>
              <w:jc w:val="center"/>
              <w:textAlignment w:val="auto"/>
              <w:rPr>
                <w:rFonts w:hint="eastAsia" w:ascii="宋体" w:hAnsi="宋体" w:cs="宋体"/>
              </w:rPr>
            </w:pPr>
            <w:r>
              <w:rPr>
                <w:rFonts w:hint="eastAsia" w:ascii="宋体" w:hAnsi="宋体" w:cs="宋体"/>
              </w:rPr>
              <w:t>矢量分析</w:t>
            </w:r>
          </w:p>
        </w:tc>
      </w:tr>
    </w:tbl>
    <w:p w14:paraId="3A3AAABA">
      <w:pPr>
        <w:pStyle w:val="3"/>
        <w:pageBreakBefore w:val="0"/>
        <w:kinsoku/>
        <w:wordWrap/>
        <w:overflowPunct/>
        <w:topLinePunct w:val="0"/>
        <w:autoSpaceDE/>
        <w:autoSpaceDN/>
        <w:bidi w:val="0"/>
        <w:adjustRightInd/>
        <w:spacing w:before="249" w:after="249"/>
        <w:ind w:left="0" w:leftChars="0"/>
        <w:textAlignment w:val="auto"/>
      </w:pPr>
      <w:bookmarkStart w:id="22" w:name="_Toc7737"/>
      <w:r>
        <w:rPr>
          <w:rFonts w:hint="eastAsia"/>
        </w:rPr>
        <w:t>2.8 四透镜系统研究</w:t>
      </w:r>
      <w:bookmarkEnd w:id="22"/>
    </w:p>
    <w:p w14:paraId="77B47B8E">
      <w:pPr>
        <w:pStyle w:val="4"/>
        <w:pageBreakBefore w:val="0"/>
        <w:kinsoku/>
        <w:wordWrap/>
        <w:overflowPunct/>
        <w:topLinePunct w:val="0"/>
        <w:autoSpaceDE/>
        <w:autoSpaceDN/>
        <w:bidi w:val="0"/>
        <w:adjustRightInd/>
        <w:spacing w:before="156" w:after="156"/>
        <w:ind w:left="0" w:leftChars="0"/>
        <w:textAlignment w:val="auto"/>
      </w:pPr>
      <w:bookmarkStart w:id="23" w:name="_Toc23837"/>
      <w:r>
        <w:rPr>
          <w:rFonts w:hint="eastAsia"/>
        </w:rPr>
        <w:t>2.8.1光路研究</w:t>
      </w:r>
      <w:bookmarkEnd w:id="23"/>
    </w:p>
    <w:p w14:paraId="61F4FC8E">
      <w:pPr>
        <w:pageBreakBefore w:val="0"/>
        <w:kinsoku/>
        <w:wordWrap/>
        <w:overflowPunct/>
        <w:topLinePunct w:val="0"/>
        <w:autoSpaceDE/>
        <w:autoSpaceDN/>
        <w:bidi w:val="0"/>
        <w:adjustRightInd/>
        <w:ind w:left="0" w:leftChars="0"/>
        <w:textAlignment w:val="auto"/>
      </w:pPr>
      <w:r>
        <w:drawing>
          <wp:inline distT="0" distB="0" distL="0" distR="0">
            <wp:extent cx="5940425" cy="1471295"/>
            <wp:effectExtent l="0" t="0" r="3175" b="0"/>
            <wp:docPr id="11445286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8674"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0425" cy="1471295"/>
                    </a:xfrm>
                    <a:prstGeom prst="rect">
                      <a:avLst/>
                    </a:prstGeom>
                    <a:noFill/>
                    <a:ln>
                      <a:noFill/>
                    </a:ln>
                  </pic:spPr>
                </pic:pic>
              </a:graphicData>
            </a:graphic>
          </wp:inline>
        </w:drawing>
      </w:r>
    </w:p>
    <w:p w14:paraId="0E89CB1A">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cs="Times New Roman"/>
          <w:sz w:val="21"/>
          <w:szCs w:val="21"/>
        </w:rPr>
        <w:t>2-3</w:t>
      </w:r>
      <w:r>
        <w:rPr>
          <w:rFonts w:hint="eastAsia" w:ascii="宋体" w:hAnsi="宋体" w:cs="宋体"/>
          <w:sz w:val="21"/>
          <w:szCs w:val="21"/>
        </w:rPr>
        <w:t>四透镜系统</w:t>
      </w:r>
    </w:p>
    <w:p w14:paraId="57414D0E">
      <w:pPr>
        <w:pageBreakBefore w:val="0"/>
        <w:kinsoku/>
        <w:wordWrap/>
        <w:overflowPunct/>
        <w:topLinePunct w:val="0"/>
        <w:autoSpaceDE/>
        <w:autoSpaceDN/>
        <w:bidi w:val="0"/>
        <w:adjustRightInd/>
        <w:ind w:left="0" w:leftChars="0" w:firstLine="480" w:firstLineChars="200"/>
        <w:textAlignment w:val="auto"/>
      </w:pPr>
      <w:r>
        <w:rPr>
          <w:rFonts w:hint="eastAsia"/>
        </w:rPr>
        <w:t>如图2-3所示，</w:t>
      </w:r>
      <w:r>
        <w:t>四透镜系统是本研究的主要</w:t>
      </w:r>
      <w:r>
        <w:rPr>
          <w:rFonts w:hint="eastAsia"/>
        </w:rPr>
        <w:t>示例</w:t>
      </w:r>
      <w:r>
        <w:t>结构。光束依次通过四片透镜，前级透镜负责准直和整形，后级透镜负责将光束</w:t>
      </w:r>
      <w:r>
        <w:rPr>
          <w:rFonts w:hint="eastAsia"/>
        </w:rPr>
        <w:t>二次准直</w:t>
      </w:r>
      <w:r>
        <w:t>并聚焦到单模光纤端面。系统中的透镜曲率、厚度和空气间隔共同决定等效焦度、光斑尺寸、焦面位置和波前曲率</w:t>
      </w:r>
      <w:r>
        <w:rPr>
          <w:rFonts w:hint="eastAsia"/>
        </w:rPr>
        <w:t>，进而影响耦合效率</w:t>
      </w:r>
      <w:r>
        <w:t>。</w:t>
      </w:r>
    </w:p>
    <w:p w14:paraId="7F35FD28">
      <w:pPr>
        <w:pageBreakBefore w:val="0"/>
        <w:kinsoku/>
        <w:wordWrap/>
        <w:overflowPunct/>
        <w:topLinePunct w:val="0"/>
        <w:autoSpaceDE/>
        <w:autoSpaceDN/>
        <w:bidi w:val="0"/>
        <w:adjustRightInd/>
        <w:ind w:left="0" w:leftChars="0" w:firstLine="480" w:firstLineChars="200"/>
        <w:textAlignment w:val="auto"/>
      </w:pPr>
      <w:r>
        <w:t>在仿真建模中，光源、透镜组和光纤被组织为有序光学元件序列。每个元件具有稳定的</w:t>
      </w:r>
      <w:r>
        <w:rPr>
          <w:rFonts w:hint="eastAsia"/>
        </w:rPr>
        <w:t>序列名</w:t>
      </w:r>
      <w:r>
        <w:t>、位置、姿态和面型参数；光线追迹、复场重建和结果分析均从同一序列读取数据。系统建立后先进行光轴、元件顺序和有效孔径检查，再进入正式计算。</w:t>
      </w:r>
    </w:p>
    <w:p w14:paraId="553DD706">
      <w:pPr>
        <w:pageBreakBefore w:val="0"/>
        <w:kinsoku/>
        <w:wordWrap/>
        <w:overflowPunct/>
        <w:topLinePunct w:val="0"/>
        <w:autoSpaceDE/>
        <w:autoSpaceDN/>
        <w:bidi w:val="0"/>
        <w:adjustRightInd/>
        <w:ind w:left="0" w:leftChars="0" w:firstLine="480" w:firstLineChars="200"/>
        <w:textAlignment w:val="auto"/>
      </w:pPr>
      <w:r>
        <w:t>研究重点不局限于某一组最优参数，而是观察结构参数变化如何通过 q 参数、端面复场和目标模式重叠影响最终效率。这样可以为后续参数扫描、代理建模和 SHAP 解释提供连续、可复现的输入输出关系。</w:t>
      </w:r>
    </w:p>
    <w:p w14:paraId="406EE5CF">
      <w:pPr>
        <w:pStyle w:val="4"/>
        <w:pageBreakBefore w:val="0"/>
        <w:kinsoku/>
        <w:wordWrap/>
        <w:overflowPunct/>
        <w:topLinePunct w:val="0"/>
        <w:autoSpaceDE/>
        <w:autoSpaceDN/>
        <w:bidi w:val="0"/>
        <w:adjustRightInd/>
        <w:spacing w:before="156" w:after="156"/>
        <w:ind w:left="0" w:leftChars="0"/>
        <w:textAlignment w:val="auto"/>
      </w:pPr>
      <w:bookmarkStart w:id="24" w:name="_Toc16013"/>
      <w:r>
        <w:rPr>
          <w:rFonts w:hint="eastAsia"/>
        </w:rPr>
        <w:t>2.8.2物理解释</w:t>
      </w:r>
      <w:bookmarkEnd w:id="24"/>
    </w:p>
    <w:p w14:paraId="79730DDD">
      <w:pPr>
        <w:pageBreakBefore w:val="0"/>
        <w:kinsoku/>
        <w:wordWrap/>
        <w:overflowPunct/>
        <w:topLinePunct w:val="0"/>
        <w:autoSpaceDE/>
        <w:autoSpaceDN/>
        <w:bidi w:val="0"/>
        <w:adjustRightInd/>
        <w:ind w:left="0" w:leftChars="0" w:firstLine="480" w:firstLineChars="200"/>
        <w:textAlignment w:val="auto"/>
      </w:pPr>
      <w:r>
        <w:t>当透镜厚度或曲率半径变化时，系统等效光焦度和传播矩阵发生改变，输出束腰位置与波前曲率随之移动。如果光纤端面未同步调整，入射场会出现轴向离焦或曲率失配，即使光斑中心仍位于光纤轴线上，耦合效率也可能下降。</w:t>
      </w:r>
    </w:p>
    <w:p w14:paraId="4DE7C50E">
      <w:pPr>
        <w:pageBreakBefore w:val="0"/>
        <w:kinsoku/>
        <w:wordWrap/>
        <w:overflowPunct/>
        <w:topLinePunct w:val="0"/>
        <w:autoSpaceDE/>
        <w:autoSpaceDN/>
        <w:bidi w:val="0"/>
        <w:adjustRightInd/>
        <w:ind w:left="0" w:leftChars="0" w:firstLine="480" w:firstLineChars="200"/>
        <w:textAlignment w:val="auto"/>
      </w:pPr>
      <w:r>
        <w:t>当镜间距发生变化时，光束在不同透镜上的入射高度和角度改变，后续透镜接收到的光束状态不再相同。因此空气间隔既可能改变光斑尺寸，也可能改变焦面和相位分布，导致效率曲线呈现非线性甚至局部极值。</w:t>
      </w:r>
    </w:p>
    <w:p w14:paraId="4F7F87F8">
      <w:pPr>
        <w:pageBreakBefore w:val="0"/>
        <w:kinsoku/>
        <w:wordWrap/>
        <w:overflowPunct/>
        <w:topLinePunct w:val="0"/>
        <w:autoSpaceDE/>
        <w:autoSpaceDN/>
        <w:bidi w:val="0"/>
        <w:adjustRightInd/>
        <w:ind w:left="0" w:leftChars="0" w:firstLine="480" w:firstLineChars="200"/>
        <w:textAlignment w:val="auto"/>
      </w:pPr>
      <w:r>
        <w:t>四透镜系统中的参数影响具有耦合性，不能仅用单个透镜焦距变化解释。平台采用“解析基线—复场仿真—参数扫描—SHAP 贡献—物理失配分类”的方式，将机器学习识别出的敏感参数重新对应到尺寸、位置、角度、离焦和曲率等可理解的光学因素。</w:t>
      </w:r>
    </w:p>
    <w:p w14:paraId="6A9025C9">
      <w:pPr>
        <w:pageBreakBefore w:val="0"/>
        <w:kinsoku/>
        <w:wordWrap/>
        <w:overflowPunct/>
        <w:topLinePunct w:val="0"/>
        <w:autoSpaceDE/>
        <w:autoSpaceDN/>
        <w:bidi w:val="0"/>
        <w:adjustRightInd/>
        <w:ind w:left="0" w:leftChars="0" w:firstLine="480" w:firstLineChars="200"/>
        <w:textAlignment w:val="auto"/>
      </w:pPr>
      <w:r>
        <w:rPr>
          <w:rFonts w:hint="eastAsia"/>
        </w:rPr>
        <w:br w:type="page"/>
      </w:r>
    </w:p>
    <w:p w14:paraId="3706710D">
      <w:pPr>
        <w:pageBreakBefore w:val="0"/>
        <w:kinsoku/>
        <w:wordWrap/>
        <w:overflowPunct/>
        <w:topLinePunct w:val="0"/>
        <w:autoSpaceDE/>
        <w:autoSpaceDN/>
        <w:bidi w:val="0"/>
        <w:adjustRightInd/>
        <w:ind w:left="0" w:leftChars="0" w:firstLine="480" w:firstLineChars="200"/>
        <w:textAlignment w:val="auto"/>
      </w:pPr>
    </w:p>
    <w:p w14:paraId="0D2BE22F">
      <w:pPr>
        <w:pStyle w:val="2"/>
        <w:pageBreakBefore w:val="0"/>
        <w:kinsoku/>
        <w:wordWrap/>
        <w:overflowPunct/>
        <w:topLinePunct w:val="0"/>
        <w:autoSpaceDE/>
        <w:autoSpaceDN/>
        <w:bidi w:val="0"/>
        <w:adjustRightInd/>
        <w:spacing w:before="312" w:after="312"/>
        <w:ind w:left="0" w:leftChars="0"/>
        <w:textAlignment w:val="auto"/>
      </w:pPr>
      <w:bookmarkStart w:id="25" w:name="_Toc29011"/>
      <w:r>
        <w:rPr>
          <w:rFonts w:hint="eastAsia"/>
        </w:rPr>
        <w:t>3机器学习与寻优算法</w:t>
      </w:r>
      <w:bookmarkEnd w:id="25"/>
    </w:p>
    <w:p w14:paraId="6790CC1C">
      <w:pPr>
        <w:pStyle w:val="3"/>
        <w:pageBreakBefore w:val="0"/>
        <w:kinsoku/>
        <w:wordWrap/>
        <w:overflowPunct/>
        <w:topLinePunct w:val="0"/>
        <w:autoSpaceDE/>
        <w:autoSpaceDN/>
        <w:bidi w:val="0"/>
        <w:adjustRightInd/>
        <w:spacing w:before="249" w:after="249"/>
        <w:ind w:left="0" w:leftChars="0"/>
        <w:textAlignment w:val="auto"/>
      </w:pPr>
      <w:bookmarkStart w:id="26" w:name="_Toc32621"/>
      <w:r>
        <w:rPr>
          <w:rFonts w:hint="eastAsia"/>
        </w:rPr>
        <w:t>3.1整体设计理念</w:t>
      </w:r>
      <w:bookmarkEnd w:id="26"/>
    </w:p>
    <w:p w14:paraId="38F3405D">
      <w:pPr>
        <w:pageBreakBefore w:val="0"/>
        <w:kinsoku/>
        <w:wordWrap/>
        <w:overflowPunct/>
        <w:topLinePunct w:val="0"/>
        <w:autoSpaceDE/>
        <w:autoSpaceDN/>
        <w:bidi w:val="0"/>
        <w:adjustRightInd/>
        <w:ind w:left="0" w:leftChars="0" w:firstLine="480" w:firstLineChars="200"/>
        <w:textAlignment w:val="auto"/>
      </w:pPr>
      <w:r>
        <w:rPr>
          <w:rFonts w:hint="eastAsia"/>
        </w:rPr>
        <w:t>在激光耦合系统优化过程中，透镜曲率半径、厚度、空气间隔等多个参数会共同影响光斑尺寸、焦面位置以及模式匹配程度，使得参数与耦合效率之间呈现复杂的非线性关系。传统物理仿真方法虽然能够获得高精度结果，但在大规模参数搜索过程中计算成本较高。因此，本项目引入机器学习代理模型，建立光学参数与系统性能之间的快速映射关系。</w:t>
      </w:r>
    </w:p>
    <w:p w14:paraId="66F902BB">
      <w:pPr>
        <w:pageBreakBefore w:val="0"/>
        <w:kinsoku/>
        <w:wordWrap/>
        <w:overflowPunct/>
        <w:topLinePunct w:val="0"/>
        <w:autoSpaceDE/>
        <w:autoSpaceDN/>
        <w:bidi w:val="0"/>
        <w:adjustRightInd/>
        <w:ind w:left="0" w:leftChars="0" w:firstLine="480" w:firstLineChars="200"/>
        <w:textAlignment w:val="auto"/>
      </w:pPr>
      <w:r>
        <w:rPr>
          <w:rFonts w:hint="eastAsia"/>
        </w:rPr>
        <w:t>激光耦合系统优化面临三重困境：参数维度高、单次精确仿真耗时长、结果须具备物理可解释性和工程可制造性。纯穷举仿真不可承受，纯黑箱机器学习缺少物理保证。本方案以分工协作为核心，利用 ABCD/q 物理层提供可解释特征与解析基线；树模型与 BiLSTM 分别处理固定结构与可变结构，完成规律总结与快速预测；贝叶斯优 化与差分进化在廉价代理上做全局搜索，Powell 在昂贵正式仿真上局部精调；准直、机械、孔径硬约束剔除不可制造方案；独立复核最终裁决结果可信度。采用混合寻优，收敛速度快，节省仿真预算。混合寻优与随机搜索收敛对比结果如图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1</w:t>
      </w:r>
      <w:r>
        <w:rPr>
          <w:rFonts w:hint="eastAsia"/>
        </w:rPr>
        <w:t>所示。</w:t>
      </w:r>
    </w:p>
    <w:p w14:paraId="6107CFF6">
      <w:pPr>
        <w:pageBreakBefore w:val="0"/>
        <w:kinsoku/>
        <w:wordWrap/>
        <w:overflowPunct/>
        <w:topLinePunct w:val="0"/>
        <w:autoSpaceDE/>
        <w:autoSpaceDN/>
        <w:bidi w:val="0"/>
        <w:adjustRightInd/>
        <w:ind w:left="0" w:leftChars="0" w:firstLine="480" w:firstLineChars="200"/>
        <w:jc w:val="center"/>
        <w:textAlignment w:val="auto"/>
        <w:rPr>
          <w:rFonts w:hint="eastAsia"/>
        </w:rPr>
      </w:pPr>
      <w:r>
        <w:drawing>
          <wp:inline distT="0" distB="0" distL="0" distR="0">
            <wp:extent cx="3733800" cy="2517775"/>
            <wp:effectExtent l="0" t="0" r="0" b="0"/>
            <wp:docPr id="212749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9902" name="图片 1"/>
                    <pic:cNvPicPr>
                      <a:picLocks noChangeAspect="1"/>
                    </pic:cNvPicPr>
                  </pic:nvPicPr>
                  <pic:blipFill>
                    <a:blip r:embed="rId14"/>
                    <a:stretch>
                      <a:fillRect/>
                    </a:stretch>
                  </pic:blipFill>
                  <pic:spPr>
                    <a:xfrm>
                      <a:off x="0" y="0"/>
                      <a:ext cx="3739420" cy="2521859"/>
                    </a:xfrm>
                    <a:prstGeom prst="rect">
                      <a:avLst/>
                    </a:prstGeom>
                  </pic:spPr>
                </pic:pic>
              </a:graphicData>
            </a:graphic>
          </wp:inline>
        </w:drawing>
      </w:r>
    </w:p>
    <w:p w14:paraId="79EA9CB1">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1</w:t>
      </w:r>
      <w:r>
        <w:rPr>
          <w:rFonts w:hint="eastAsia" w:ascii="宋体" w:hAnsi="宋体" w:cs="宋体"/>
          <w:sz w:val="21"/>
          <w:szCs w:val="21"/>
        </w:rPr>
        <w:t>混合寻优与随机搜索收敛对比结果图</w:t>
      </w:r>
    </w:p>
    <w:p w14:paraId="45F2835C">
      <w:pPr>
        <w:pageBreakBefore w:val="0"/>
        <w:kinsoku/>
        <w:wordWrap/>
        <w:overflowPunct/>
        <w:topLinePunct w:val="0"/>
        <w:autoSpaceDE/>
        <w:autoSpaceDN/>
        <w:bidi w:val="0"/>
        <w:adjustRightInd/>
        <w:ind w:left="0" w:leftChars="0" w:firstLine="480" w:firstLineChars="200"/>
        <w:textAlignment w:val="auto"/>
      </w:pPr>
      <w:r>
        <w:rPr>
          <w:rFonts w:hint="eastAsia"/>
        </w:rPr>
        <w:t>平台寻优整体架构如图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2</w:t>
      </w:r>
      <w:r>
        <w:rPr>
          <w:rFonts w:hint="eastAsia"/>
        </w:rPr>
        <w:t>所示</w:t>
      </w:r>
    </w:p>
    <w:p w14:paraId="04BF521D">
      <w:pPr>
        <w:pageBreakBefore w:val="0"/>
        <w:kinsoku/>
        <w:wordWrap/>
        <w:overflowPunct/>
        <w:topLinePunct w:val="0"/>
        <w:autoSpaceDE/>
        <w:autoSpaceDN/>
        <w:bidi w:val="0"/>
        <w:adjustRightInd/>
        <w:ind w:left="0" w:leftChars="0" w:firstLine="480" w:firstLineChars="200"/>
        <w:textAlignment w:val="auto"/>
      </w:pPr>
      <w:r>
        <w:drawing>
          <wp:inline distT="0" distB="0" distL="0" distR="0">
            <wp:extent cx="5086350" cy="2168525"/>
            <wp:effectExtent l="0" t="0" r="0" b="3175"/>
            <wp:docPr id="5241012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1282"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092781" cy="2171577"/>
                    </a:xfrm>
                    <a:prstGeom prst="rect">
                      <a:avLst/>
                    </a:prstGeom>
                    <a:noFill/>
                    <a:ln>
                      <a:noFill/>
                    </a:ln>
                  </pic:spPr>
                </pic:pic>
              </a:graphicData>
            </a:graphic>
          </wp:inline>
        </w:drawing>
      </w:r>
    </w:p>
    <w:p w14:paraId="11E7B08C">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2</w:t>
      </w:r>
      <w:r>
        <w:rPr>
          <w:rFonts w:hint="default" w:ascii="Times New Roman" w:hAnsi="Times New Roman" w:cs="Times New Roman"/>
          <w:sz w:val="21"/>
          <w:szCs w:val="21"/>
        </w:rPr>
        <w:t xml:space="preserve"> </w:t>
      </w:r>
      <w:r>
        <w:rPr>
          <w:rFonts w:hint="eastAsia" w:ascii="宋体" w:hAnsi="宋体" w:cs="宋体"/>
          <w:sz w:val="21"/>
          <w:szCs w:val="21"/>
        </w:rPr>
        <w:t>平台整体寻优架构</w:t>
      </w:r>
    </w:p>
    <w:p w14:paraId="388A2D8F">
      <w:pPr>
        <w:pStyle w:val="3"/>
        <w:pageBreakBefore w:val="0"/>
        <w:kinsoku/>
        <w:wordWrap/>
        <w:overflowPunct/>
        <w:topLinePunct w:val="0"/>
        <w:autoSpaceDE/>
        <w:autoSpaceDN/>
        <w:bidi w:val="0"/>
        <w:adjustRightInd/>
        <w:spacing w:before="249" w:after="249"/>
        <w:ind w:left="0" w:leftChars="0"/>
        <w:textAlignment w:val="auto"/>
      </w:pPr>
      <w:bookmarkStart w:id="27" w:name="_Toc7886"/>
      <w:r>
        <w:rPr>
          <w:rFonts w:hint="eastAsia"/>
        </w:rPr>
        <w:t>3.2 BiLSTM</w:t>
      </w:r>
      <w:bookmarkEnd w:id="27"/>
    </w:p>
    <w:p w14:paraId="28029926">
      <w:pPr>
        <w:pStyle w:val="4"/>
        <w:pageBreakBefore w:val="0"/>
        <w:kinsoku/>
        <w:wordWrap/>
        <w:overflowPunct/>
        <w:topLinePunct w:val="0"/>
        <w:autoSpaceDE/>
        <w:autoSpaceDN/>
        <w:bidi w:val="0"/>
        <w:adjustRightInd/>
        <w:spacing w:before="156" w:after="156"/>
        <w:ind w:left="0" w:leftChars="0"/>
        <w:textAlignment w:val="auto"/>
      </w:pPr>
      <w:bookmarkStart w:id="28" w:name="_Toc27851"/>
      <w:r>
        <w:rPr>
          <w:rFonts w:hint="eastAsia"/>
        </w:rPr>
        <w:t>3.2.1 BiLSTM原理</w:t>
      </w:r>
      <w:bookmarkEnd w:id="28"/>
    </w:p>
    <w:p w14:paraId="06BA0440">
      <w:pPr>
        <w:pageBreakBefore w:val="0"/>
        <w:kinsoku/>
        <w:wordWrap/>
        <w:overflowPunct/>
        <w:topLinePunct w:val="0"/>
        <w:autoSpaceDE/>
        <w:autoSpaceDN/>
        <w:bidi w:val="0"/>
        <w:adjustRightInd/>
        <w:ind w:left="0" w:leftChars="0" w:firstLine="480" w:firstLineChars="200"/>
        <w:textAlignment w:val="auto"/>
      </w:pPr>
      <w:r>
        <w:rPr>
          <w:rFonts w:hint="eastAsia"/>
        </w:rPr>
        <w:t>核心思想为用双向序列处理机制实现上下文信息的特征提取。传统单向循环神经网络（如 LSTM）在计算机芯片上运行，通过单一的时序递推运算处理序列信号，只能捕获当前时间步之前的历史信息。BiLSTM 在时间维度上，利用两个独立的 LSTM 网络分别按正序和逆序对同一序列进行物理编码，从而处理序列的双侧上下文信号。序列本身既是输入数据，也是被双向编码的计算对象，整个特征提取过程在正向与反向的递推运算中完成，如图3-</w:t>
      </w:r>
      <w:r>
        <w:rPr>
          <w:rFonts w:hint="eastAsia"/>
          <w:lang w:val="en-US" w:eastAsia="zh-CN"/>
        </w:rPr>
        <w:t>3</w:t>
      </w:r>
      <w:r>
        <w:rPr>
          <w:rFonts w:hint="eastAsia"/>
        </w:rPr>
        <w:t>所示。</w:t>
      </w:r>
    </w:p>
    <w:p w14:paraId="2941BCA1">
      <w:pPr>
        <w:pageBreakBefore w:val="0"/>
        <w:kinsoku/>
        <w:wordWrap/>
        <w:overflowPunct/>
        <w:topLinePunct w:val="0"/>
        <w:autoSpaceDE/>
        <w:autoSpaceDN/>
        <w:bidi w:val="0"/>
        <w:adjustRightInd/>
        <w:ind w:left="0" w:leftChars="0"/>
        <w:textAlignment w:val="auto"/>
      </w:pPr>
      <w:r>
        <w:drawing>
          <wp:inline distT="0" distB="0" distL="114300" distR="114300">
            <wp:extent cx="5939790" cy="3959860"/>
            <wp:effectExtent l="0" t="0" r="3810" b="2540"/>
            <wp:docPr id="6" name="图片 6" descr="178999052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89990528086"/>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59EE3ADD">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 xml:space="preserve"> </w:t>
      </w:r>
      <w:r>
        <w:rPr>
          <w:rFonts w:hint="eastAsia" w:ascii="宋体" w:hAnsi="宋体" w:cs="宋体"/>
          <w:sz w:val="21"/>
          <w:szCs w:val="21"/>
        </w:rPr>
        <w:t>BiLSTM 按正序和逆序进行编码</w:t>
      </w:r>
    </w:p>
    <w:p w14:paraId="235509FA">
      <w:pPr>
        <w:pStyle w:val="4"/>
        <w:pageBreakBefore w:val="0"/>
        <w:kinsoku/>
        <w:wordWrap/>
        <w:overflowPunct/>
        <w:topLinePunct w:val="0"/>
        <w:autoSpaceDE/>
        <w:autoSpaceDN/>
        <w:bidi w:val="0"/>
        <w:adjustRightInd/>
        <w:spacing w:before="156" w:after="156"/>
        <w:ind w:left="0" w:leftChars="0"/>
        <w:textAlignment w:val="auto"/>
      </w:pPr>
      <w:bookmarkStart w:id="29" w:name="_Toc8936"/>
      <w:r>
        <w:rPr>
          <w:rFonts w:hint="eastAsia"/>
        </w:rPr>
        <w:t>3.2.2 光学结构序列表示</w:t>
      </w:r>
      <w:bookmarkEnd w:id="29"/>
    </w:p>
    <w:p w14:paraId="106C7F8F">
      <w:pPr>
        <w:pageBreakBefore w:val="0"/>
        <w:kinsoku/>
        <w:wordWrap/>
        <w:overflowPunct/>
        <w:topLinePunct w:val="0"/>
        <w:autoSpaceDE/>
        <w:autoSpaceDN/>
        <w:bidi w:val="0"/>
        <w:adjustRightInd/>
        <w:ind w:left="0" w:leftChars="0" w:firstLine="480" w:firstLineChars="200"/>
        <w:textAlignment w:val="auto"/>
      </w:pPr>
      <w:r>
        <w:t>传统神经网络通常将输入数据视为相互独立的特征，难以描述具有顺序关系的数据。而在光学系统设计过程中，</w:t>
      </w:r>
      <w:r>
        <w:rPr>
          <w:rFonts w:hint="eastAsia"/>
        </w:rPr>
        <w:t>球面镜</w:t>
      </w:r>
      <w:r>
        <w:t>、</w:t>
      </w:r>
      <w:r>
        <w:rPr>
          <w:rFonts w:hint="eastAsia"/>
        </w:rPr>
        <w:t>非球面</w:t>
      </w:r>
      <w:r>
        <w:t>镜、光阑等光学元件的类型及排列顺序会直接影响光束传播过程，不同元件组合形成的结构序列对应不同的系统性能。因此，本项目将光学系统表示为由多个光学元件组成的有序序列，利用 BiLSTM 网络学习“光学结构序列—系统性能”之间的映射关系，实现候选结构的快速筛选。</w:t>
      </w:r>
    </w:p>
    <w:p w14:paraId="2D664C38">
      <w:pPr>
        <w:pageBreakBefore w:val="0"/>
        <w:kinsoku/>
        <w:wordWrap/>
        <w:overflowPunct/>
        <w:topLinePunct w:val="0"/>
        <w:autoSpaceDE/>
        <w:autoSpaceDN/>
        <w:bidi w:val="0"/>
        <w:adjustRightInd/>
        <w:ind w:left="0" w:leftChars="0" w:firstLine="480" w:firstLineChars="200"/>
        <w:textAlignment w:val="auto"/>
      </w:pPr>
    </w:p>
    <w:p w14:paraId="4886CDD2">
      <w:pPr>
        <w:pStyle w:val="3"/>
        <w:pageBreakBefore w:val="0"/>
        <w:kinsoku/>
        <w:wordWrap/>
        <w:overflowPunct/>
        <w:topLinePunct w:val="0"/>
        <w:autoSpaceDE/>
        <w:autoSpaceDN/>
        <w:bidi w:val="0"/>
        <w:adjustRightInd/>
        <w:spacing w:before="249" w:after="249"/>
        <w:ind w:left="0" w:leftChars="0"/>
        <w:textAlignment w:val="auto"/>
      </w:pPr>
      <w:bookmarkStart w:id="30" w:name="_Toc29442"/>
      <w:r>
        <w:rPr>
          <w:rFonts w:hint="eastAsia"/>
        </w:rPr>
        <w:t>3.3 随机森林与XGBoost</w:t>
      </w:r>
      <w:bookmarkEnd w:id="30"/>
    </w:p>
    <w:p w14:paraId="7692C415">
      <w:pPr>
        <w:pStyle w:val="4"/>
        <w:pageBreakBefore w:val="0"/>
        <w:kinsoku/>
        <w:wordWrap/>
        <w:overflowPunct/>
        <w:topLinePunct w:val="0"/>
        <w:autoSpaceDE/>
        <w:autoSpaceDN/>
        <w:bidi w:val="0"/>
        <w:adjustRightInd/>
        <w:spacing w:before="156" w:after="156"/>
        <w:ind w:left="0" w:leftChars="0"/>
        <w:textAlignment w:val="auto"/>
      </w:pPr>
      <w:bookmarkStart w:id="31" w:name="_Toc29520"/>
      <w:r>
        <w:rPr>
          <w:rFonts w:hint="eastAsia"/>
        </w:rPr>
        <w:t>3.3.1随机森林与XGBoost原理</w:t>
      </w:r>
      <w:bookmarkEnd w:id="31"/>
    </w:p>
    <w:p w14:paraId="77794ED0">
      <w:pPr>
        <w:pageBreakBefore w:val="0"/>
        <w:kinsoku/>
        <w:wordWrap/>
        <w:overflowPunct/>
        <w:topLinePunct w:val="0"/>
        <w:autoSpaceDE/>
        <w:autoSpaceDN/>
        <w:bidi w:val="0"/>
        <w:adjustRightInd/>
        <w:ind w:left="0" w:leftChars="0" w:firstLine="480" w:firstLineChars="200"/>
        <w:textAlignment w:val="auto"/>
      </w:pPr>
      <w:r>
        <w:rPr>
          <w:rFonts w:hint="eastAsia"/>
        </w:rPr>
        <w:t>随机森林核心思想为用集成学习机制实现决策树的群体决策。传统单棵决策树在计算机内存中运行，通过单一的递归划分特征空间来处理结构化数据，容易陷入过拟合。随机森林（Random Forest）在特征空间中，利用Bootstrap重采样和随机特征子空间来构建多棵独立的决策树。数据集与特征子集本身就是计算介质，整个模型训练过程在并行构建多棵树的迭代中完成。</w:t>
      </w:r>
    </w:p>
    <w:p w14:paraId="03D18511">
      <w:pPr>
        <w:pageBreakBefore w:val="0"/>
        <w:kinsoku/>
        <w:wordWrap/>
        <w:overflowPunct/>
        <w:topLinePunct w:val="0"/>
        <w:autoSpaceDE/>
        <w:autoSpaceDN/>
        <w:bidi w:val="0"/>
        <w:adjustRightInd/>
        <w:ind w:left="0" w:leftChars="0" w:firstLine="480" w:firstLineChars="200"/>
        <w:textAlignment w:val="auto"/>
      </w:pPr>
      <w:r>
        <w:t>随机森林（Random Forest，RF）是一种基于集成学习思想的机器学习模型，其核心思想是通过构建多个相互独立的决策树，并对多个模型的预测结果进行融合，提高模型的稳定性和泛化能力。</w:t>
      </w:r>
    </w:p>
    <w:p w14:paraId="17EA8843">
      <w:pPr>
        <w:pStyle w:val="13"/>
        <w:pageBreakBefore w:val="0"/>
        <w:kinsoku/>
        <w:wordWrap/>
        <w:overflowPunct/>
        <w:topLinePunct w:val="0"/>
        <w:autoSpaceDE/>
        <w:autoSpaceDN/>
        <w:bidi w:val="0"/>
        <w:adjustRightInd/>
        <w:ind w:left="0" w:leftChars="0" w:firstLine="480" w:firstLineChars="200"/>
        <w:textAlignment w:val="auto"/>
      </w:pPr>
      <w:r>
        <w:t>在本项目中，随机森林以光学结构参数作为输入：</w:t>
      </w:r>
    </w:p>
    <w:p w14:paraId="1B7A36D4">
      <w:pPr>
        <w:pStyle w:val="7"/>
        <w:pageBreakBefore w:val="0"/>
        <w:tabs>
          <w:tab w:val="center" w:pos="5217"/>
          <w:tab w:val="right" w:pos="8395"/>
        </w:tabs>
        <w:kinsoku/>
        <w:wordWrap/>
        <w:overflowPunct/>
        <w:topLinePunct w:val="0"/>
        <w:autoSpaceDE/>
        <w:autoSpaceDN/>
        <w:bidi w:val="0"/>
        <w:adjustRightInd/>
        <w:ind w:left="0" w:leftChars="0" w:firstLine="400" w:firstLineChars="200"/>
        <w:textAlignment w:val="auto"/>
        <w:rPr>
          <w:rFonts w:eastAsia="宋体"/>
        </w:rPr>
      </w:pPr>
      <w:r>
        <w:rPr>
          <w:rFonts w:hint="eastAsia"/>
          <w:position w:val="-12"/>
        </w:rPr>
        <w:tab/>
      </w:r>
      <w:r>
        <w:rPr>
          <w:position w:val="-12"/>
        </w:rPr>
        <w:object>
          <v:shape id="_x0000_i1025" o:spt="75" type="#_x0000_t75" style="height:18pt;width:114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position w:val="-12"/>
        </w:rPr>
        <w:tab/>
      </w:r>
    </w:p>
    <w:p w14:paraId="0EF39594">
      <w:pPr>
        <w:pStyle w:val="14"/>
        <w:pageBreakBefore w:val="0"/>
        <w:widowControl/>
        <w:kinsoku/>
        <w:wordWrap/>
        <w:overflowPunct/>
        <w:topLinePunct w:val="0"/>
        <w:autoSpaceDE/>
        <w:autoSpaceDN/>
        <w:bidi w:val="0"/>
        <w:adjustRightInd/>
        <w:ind w:left="0" w:leftChars="0" w:firstLine="480" w:firstLineChars="200"/>
        <w:textAlignment w:val="auto"/>
        <w:rPr>
          <w:rFonts w:ascii="宋体" w:hAnsi="宋体"/>
          <w:color w:val="000000"/>
        </w:rPr>
      </w:pPr>
      <w:r>
        <w:rPr>
          <w:rFonts w:ascii="宋体" w:hAnsi="宋体"/>
          <w:color w:val="000000"/>
        </w:rPr>
        <w:t>其中包括透镜曲率半径、厚度以及镜间距离等参数，以物理仿真得到的耦合效率：</w:t>
      </w:r>
      <w:r>
        <w:rPr>
          <w:position w:val="-10"/>
        </w:rPr>
        <w:object>
          <v:shape id="_x0000_i1026" o:spt="75" type="#_x0000_t75" style="height:13pt;width:29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ascii="宋体" w:hAnsi="宋体"/>
          <w:color w:val="000000"/>
        </w:rPr>
        <w:t>作为预测目标。</w:t>
      </w:r>
    </w:p>
    <w:p w14:paraId="4F833E17">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模型通过 Bootstrap 重采样生成多个训练子集，并分别训练多棵决策树。对于新的参数组合，各决策树分别给出预测结果，最终通过平均方式获得系统耦合效率：</w:t>
      </w:r>
    </w:p>
    <w:p w14:paraId="78F1C740">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27" o:spt="75" type="#_x0000_t75" style="height:34pt;width:78.95pt;" o:ole="t" filled="f" o:preferrelative="t" stroked="f" coordsize="21600,21600">
            <v:path/>
            <v:fill on="f" focussize="0,0"/>
            <v:stroke on="f" joinstyle="miter"/>
            <v:imagedata r:id="rId22" o:title=""/>
            <o:lock v:ext="edit" aspectratio="t"/>
            <w10:wrap type="none"/>
            <w10:anchorlock/>
          </v:shape>
          <o:OLEObject Type="Embed" ProgID="Equation.DSMT4" ShapeID="_x0000_i1027" DrawAspect="Content" ObjectID="_1468075727" r:id="rId21">
            <o:LockedField>false</o:LockedField>
          </o:OLEObject>
        </w:object>
      </w:r>
    </w:p>
    <w:p w14:paraId="30BAE716">
      <w:pPr>
        <w:pageBreakBefore w:val="0"/>
        <w:kinsoku/>
        <w:wordWrap/>
        <w:overflowPunct/>
        <w:topLinePunct w:val="0"/>
        <w:autoSpaceDE/>
        <w:autoSpaceDN/>
        <w:bidi w:val="0"/>
        <w:adjustRightInd/>
        <w:ind w:left="0" w:leftChars="0" w:firstLine="480" w:firstLineChars="200"/>
        <w:textAlignment w:val="auto"/>
        <w:rPr>
          <w:rFonts w:hint="eastAsia"/>
        </w:rPr>
      </w:pPr>
      <w:r>
        <w:rPr>
          <w:rFonts w:ascii="宋体" w:hAnsi="宋体"/>
          <w:color w:val="000000"/>
        </w:rPr>
        <w:t>由于不同决策树之间具有一定差异，随机森林能够降低单个模型预测结果的随机波动，提高预测稳定性。因此，随机森林主要用于建立光学参数与耦合效率之间的基础代理模型，为后续优化提供快速预测能力。</w:t>
      </w:r>
      <w:r>
        <w:rPr>
          <w:rFonts w:hint="eastAsia"/>
        </w:rPr>
        <w:t>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4</w:t>
      </w:r>
      <w:r>
        <w:rPr>
          <w:rFonts w:hint="eastAsia"/>
        </w:rPr>
        <w:t xml:space="preserve">所示。 </w:t>
      </w:r>
      <w:r>
        <w:rPr>
          <w:rFonts w:hint="eastAsia"/>
        </w:rPr>
        <w:drawing>
          <wp:inline distT="0" distB="0" distL="114300" distR="114300">
            <wp:extent cx="5601970" cy="2586990"/>
            <wp:effectExtent l="0" t="0" r="6350" b="3810"/>
            <wp:docPr id="2" name="图片 2" descr="17899907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89990703884"/>
                    <pic:cNvPicPr>
                      <a:picLocks noChangeAspect="1"/>
                    </pic:cNvPicPr>
                  </pic:nvPicPr>
                  <pic:blipFill>
                    <a:blip r:embed="rId23"/>
                    <a:srcRect l="-397" t="8116" r="397" b="-461"/>
                    <a:stretch>
                      <a:fillRect/>
                    </a:stretch>
                  </pic:blipFill>
                  <pic:spPr>
                    <a:xfrm>
                      <a:off x="0" y="0"/>
                      <a:ext cx="5601970" cy="2586990"/>
                    </a:xfrm>
                    <a:prstGeom prst="rect">
                      <a:avLst/>
                    </a:prstGeom>
                  </pic:spPr>
                </pic:pic>
              </a:graphicData>
            </a:graphic>
          </wp:inline>
        </w:drawing>
      </w:r>
      <w:r>
        <w:rPr>
          <w:rFonts w:hint="eastAsia"/>
        </w:rPr>
        <w:t xml:space="preserve">   </w:t>
      </w:r>
    </w:p>
    <w:p w14:paraId="6E75ECB7">
      <w:pPr>
        <w:pageBreakBefore w:val="0"/>
        <w:kinsoku/>
        <w:wordWrap/>
        <w:overflowPunct/>
        <w:topLinePunct w:val="0"/>
        <w:autoSpaceDE/>
        <w:autoSpaceDN/>
        <w:bidi w:val="0"/>
        <w:adjustRightInd/>
        <w:ind w:left="0" w:leftChars="0" w:firstLine="420" w:firstLineChars="200"/>
        <w:jc w:val="center"/>
        <w:textAlignment w:val="auto"/>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4</w:t>
      </w:r>
      <w:r>
        <w:rPr>
          <w:rFonts w:hint="eastAsia" w:ascii="宋体" w:hAnsi="宋体" w:cs="宋体"/>
          <w:sz w:val="21"/>
          <w:szCs w:val="21"/>
        </w:rPr>
        <w:t xml:space="preserve"> 随机森林</w:t>
      </w:r>
      <w:r>
        <w:rPr>
          <w:rFonts w:hint="eastAsia" w:ascii="宋体" w:hAnsi="宋体" w:cs="宋体"/>
          <w:sz w:val="21"/>
          <w:szCs w:val="21"/>
          <w:lang w:val="en-US" w:eastAsia="zh-CN"/>
        </w:rPr>
        <w:t>原理图</w:t>
      </w:r>
    </w:p>
    <w:p w14:paraId="3D071C18">
      <w:pPr>
        <w:pageBreakBefore w:val="0"/>
        <w:kinsoku/>
        <w:wordWrap/>
        <w:overflowPunct/>
        <w:topLinePunct w:val="0"/>
        <w:autoSpaceDE/>
        <w:autoSpaceDN/>
        <w:bidi w:val="0"/>
        <w:adjustRightInd/>
        <w:ind w:left="0" w:leftChars="0" w:firstLine="480" w:firstLineChars="200"/>
        <w:textAlignment w:val="auto"/>
      </w:pPr>
      <w:r>
        <w:rPr>
          <w:rFonts w:hint="eastAsia"/>
        </w:rPr>
        <w:t>XGBoost核心思想为用串行加法模型与二阶梯度优化实现偏差的持续降低。随机森林在计算机内存中运行，通过并行构建多棵独立决策树并投票来降低方差。XGBoost 在函数空间中，利用前向分步算法串行拟合残差，并引入二阶泰勒展开与正则化项来处理损失函数。目标函数的梯度信息与树的叶子权重本身就是计算介质，整个模型优化过程在贪心算法寻找最佳分裂点的迭代中完成。</w:t>
      </w:r>
    </w:p>
    <w:p w14:paraId="54CDA90C">
      <w:pPr>
        <w:pageBreakBefore w:val="0"/>
        <w:kinsoku/>
        <w:wordWrap/>
        <w:overflowPunct/>
        <w:topLinePunct w:val="0"/>
        <w:autoSpaceDE/>
        <w:autoSpaceDN/>
        <w:bidi w:val="0"/>
        <w:adjustRightInd/>
        <w:ind w:left="0" w:leftChars="0" w:firstLine="480" w:firstLineChars="200"/>
        <w:textAlignment w:val="auto"/>
      </w:pPr>
      <w:r>
        <w:t>XGBoost（Extreme Gradient Boosting）是一种基于梯度提升思想的集成学习模型。与随机森林通过并行构建多个独立决策树不同，XGBoost采用串行训练方式，使后续生成的决策树不断学习前一阶段模型产生的预测误差，从而逐步提高模型精度。</w:t>
      </w:r>
    </w:p>
    <w:p w14:paraId="70DB1383">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其基本过程可以表示为：</w:t>
      </w:r>
    </w:p>
    <w:p w14:paraId="1F8886D9">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2"/>
        </w:rPr>
        <w:object>
          <v:shape id="_x0000_i1028" o:spt="75" type="#_x0000_t75" style="height:18pt;width:15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p>
    <w:p w14:paraId="53A9E8DB">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其中每个：</w:t>
      </w:r>
      <w:r>
        <w:rPr>
          <w:position w:val="-12"/>
        </w:rPr>
        <w:object>
          <v:shape id="_x0000_i1029" o:spt="75" type="#_x0000_t75" style="height:18pt;width:34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宋体" w:hAnsi="宋体"/>
          <w:color w:val="000000"/>
        </w:rPr>
        <w:t>表示一棵决策树。</w:t>
      </w:r>
    </w:p>
    <w:p w14:paraId="3856F1F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在每一次迭代过程中，新的决策树主要用于拟合当前模型的残差：</w:t>
      </w:r>
    </w:p>
    <w:p w14:paraId="7A8DC42E">
      <w:pPr>
        <w:pStyle w:val="14"/>
        <w:pageBreakBefore w:val="0"/>
        <w:widowControl/>
        <w:kinsoku/>
        <w:wordWrap/>
        <w:overflowPunct/>
        <w:topLinePunct w:val="0"/>
        <w:autoSpaceDE/>
        <w:autoSpaceDN/>
        <w:bidi w:val="0"/>
        <w:adjustRightInd/>
        <w:ind w:left="0" w:leftChars="0" w:firstLine="480" w:firstLineChars="200"/>
        <w:jc w:val="center"/>
        <w:textAlignment w:val="auto"/>
      </w:pPr>
      <w:r>
        <w:rPr>
          <w:position w:val="-10"/>
        </w:rPr>
        <w:object>
          <v:shape id="_x0000_i1030" o:spt="75" type="#_x0000_t75" style="height:16pt;width:46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p>
    <w:p w14:paraId="2BAC1A0A">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通过不断修正误差，使模型预测结果逐渐接近真实值。</w:t>
      </w:r>
    </w:p>
    <w:p w14:paraId="046FB8E5">
      <w:pPr>
        <w:pStyle w:val="14"/>
        <w:pageBreakBefore w:val="0"/>
        <w:widowControl/>
        <w:kinsoku/>
        <w:wordWrap/>
        <w:overflowPunct/>
        <w:topLinePunct w:val="0"/>
        <w:autoSpaceDE/>
        <w:autoSpaceDN/>
        <w:bidi w:val="0"/>
        <w:adjustRightInd/>
        <w:ind w:left="0" w:leftChars="0" w:firstLine="480" w:firstLineChars="200"/>
        <w:textAlignment w:val="auto"/>
      </w:pPr>
      <w:r>
        <w:rPr>
          <w:rFonts w:ascii="宋体" w:hAnsi="宋体"/>
          <w:color w:val="000000"/>
        </w:rPr>
        <w:t>同时</w:t>
      </w:r>
      <w:r>
        <w:rPr>
          <w:color w:val="000000"/>
        </w:rPr>
        <w:t>，XGBoost</w:t>
      </w:r>
      <w:r>
        <w:rPr>
          <w:rFonts w:ascii="宋体" w:hAnsi="宋体"/>
          <w:color w:val="000000"/>
        </w:rPr>
        <w:t>引入二阶梯度优化和正则化约束：</w:t>
      </w:r>
    </w:p>
    <w:p w14:paraId="4D14D2B4">
      <w:pPr>
        <w:pageBreakBefore w:val="0"/>
        <w:widowControl/>
        <w:kinsoku/>
        <w:wordWrap/>
        <w:overflowPunct/>
        <w:topLinePunct w:val="0"/>
        <w:autoSpaceDE/>
        <w:autoSpaceDN/>
        <w:bidi w:val="0"/>
        <w:adjustRightInd/>
        <w:ind w:left="0" w:leftChars="0" w:firstLine="480" w:firstLineChars="200"/>
        <w:jc w:val="center"/>
        <w:textAlignment w:val="auto"/>
      </w:pPr>
      <w:r>
        <w:rPr>
          <w:rFonts w:hint="eastAsia" w:ascii="宋体" w:hAnsi="宋体" w:cs="宋体"/>
          <w:kern w:val="0"/>
          <w:position w:val="-28"/>
          <w:lang w:bidi="ar"/>
        </w:rPr>
        <w:object>
          <v:shape id="_x0000_i1031" o:spt="75" type="#_x0000_t75" style="height:34pt;width:138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p>
    <w:p w14:paraId="32E40EFF">
      <w:pPr>
        <w:pStyle w:val="14"/>
        <w:pageBreakBefore w:val="0"/>
        <w:widowControl/>
        <w:kinsoku/>
        <w:wordWrap/>
        <w:overflowPunct/>
        <w:topLinePunct w:val="0"/>
        <w:autoSpaceDE/>
        <w:autoSpaceDN/>
        <w:bidi w:val="0"/>
        <w:adjustRightInd/>
        <w:ind w:left="0" w:leftChars="0" w:firstLine="480" w:firstLineChars="200"/>
        <w:textAlignment w:val="auto"/>
        <w:rPr>
          <w:rFonts w:hint="eastAsia" w:ascii="宋体" w:hAnsi="宋体"/>
          <w:color w:val="000000"/>
        </w:rPr>
      </w:pPr>
      <w:r>
        <w:rPr>
          <w:rFonts w:ascii="宋体" w:hAnsi="宋体"/>
          <w:color w:val="000000"/>
        </w:rPr>
        <w:t>利用损失函数的一阶梯度和二阶梯度信息，提高模型对复杂非线性关系的拟合能力，并通过控制模型复杂度降低过拟合风险</w:t>
      </w:r>
      <w:r>
        <w:rPr>
          <w:rFonts w:hint="eastAsia" w:ascii="宋体" w:hAnsi="宋体"/>
          <w:color w:val="000000"/>
        </w:rPr>
        <w:t>，</w:t>
      </w:r>
      <w:r>
        <w:rPr>
          <w:rFonts w:ascii="宋体" w:hAnsi="宋体"/>
          <w:color w:val="000000"/>
        </w:rPr>
        <w:t>相比随机森林具有更高的拟合精度和更强的泛化能力。</w:t>
      </w:r>
      <w:r>
        <w:rPr>
          <w:rFonts w:hint="eastAsia" w:ascii="宋体" w:hAnsi="宋体"/>
          <w:color w:val="000000"/>
        </w:rPr>
        <w:t>随机森林与XGBoost的泛化能力比较图如图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5</w:t>
      </w:r>
      <w:r>
        <w:rPr>
          <w:rFonts w:hint="eastAsia" w:ascii="宋体" w:hAnsi="宋体"/>
          <w:color w:val="000000"/>
        </w:rPr>
        <w:t>所示</w:t>
      </w:r>
    </w:p>
    <w:p w14:paraId="6EEE7953">
      <w:pPr>
        <w:pStyle w:val="14"/>
        <w:pageBreakBefore w:val="0"/>
        <w:widowControl/>
        <w:kinsoku/>
        <w:wordWrap/>
        <w:overflowPunct/>
        <w:topLinePunct w:val="0"/>
        <w:autoSpaceDE/>
        <w:autoSpaceDN/>
        <w:bidi w:val="0"/>
        <w:adjustRightInd/>
        <w:ind w:left="0" w:leftChars="0" w:firstLine="480" w:firstLineChars="200"/>
        <w:textAlignment w:val="auto"/>
      </w:pPr>
      <w:r>
        <w:drawing>
          <wp:inline distT="0" distB="0" distL="0" distR="0">
            <wp:extent cx="5974715" cy="2271395"/>
            <wp:effectExtent l="0" t="0" r="14605" b="14605"/>
            <wp:docPr id="13186088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8878" name="图片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74715" cy="2271395"/>
                    </a:xfrm>
                    <a:prstGeom prst="rect">
                      <a:avLst/>
                    </a:prstGeom>
                    <a:noFill/>
                    <a:ln>
                      <a:noFill/>
                    </a:ln>
                  </pic:spPr>
                </pic:pic>
              </a:graphicData>
            </a:graphic>
          </wp:inline>
        </w:drawing>
      </w:r>
    </w:p>
    <w:p w14:paraId="6086DCCB">
      <w:pPr>
        <w:pStyle w:val="9"/>
        <w:pageBreakBefore w:val="0"/>
        <w:kinsoku/>
        <w:wordWrap/>
        <w:overflowPunct/>
        <w:topLinePunct w:val="0"/>
        <w:autoSpaceDE/>
        <w:autoSpaceDN/>
        <w:bidi w:val="0"/>
        <w:adjustRightInd/>
        <w:ind w:left="0" w:leftChars="0"/>
        <w:jc w:val="center"/>
        <w:textAlignment w:val="auto"/>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5</w:t>
      </w:r>
      <w:r>
        <w:rPr>
          <w:rFonts w:hint="eastAsia" w:ascii="宋体" w:hAnsi="宋体" w:cs="宋体"/>
          <w:sz w:val="21"/>
          <w:szCs w:val="21"/>
        </w:rPr>
        <w:t xml:space="preserve"> 随机森林与</w:t>
      </w:r>
      <w:r>
        <w:rPr>
          <w:rFonts w:hint="default" w:ascii="Times New Roman" w:hAnsi="Times New Roman" w:cs="Times New Roman"/>
          <w:sz w:val="21"/>
          <w:szCs w:val="21"/>
        </w:rPr>
        <w:t>XGBoost</w:t>
      </w:r>
      <w:r>
        <w:rPr>
          <w:rFonts w:hint="eastAsia" w:ascii="宋体" w:hAnsi="宋体" w:cs="宋体"/>
          <w:sz w:val="21"/>
          <w:szCs w:val="21"/>
        </w:rPr>
        <w:t>泛化能力比较</w:t>
      </w:r>
    </w:p>
    <w:p w14:paraId="72200AAD">
      <w:pPr>
        <w:pStyle w:val="4"/>
        <w:pageBreakBefore w:val="0"/>
        <w:kinsoku/>
        <w:wordWrap/>
        <w:overflowPunct/>
        <w:topLinePunct w:val="0"/>
        <w:autoSpaceDE/>
        <w:autoSpaceDN/>
        <w:bidi w:val="0"/>
        <w:adjustRightInd/>
        <w:spacing w:before="156" w:after="156"/>
        <w:ind w:left="0" w:leftChars="0"/>
        <w:textAlignment w:val="auto"/>
      </w:pPr>
      <w:bookmarkStart w:id="32" w:name="_Toc2241"/>
      <w:r>
        <w:t>3.3.2 物理融合</w:t>
      </w:r>
      <w:bookmarkEnd w:id="32"/>
    </w:p>
    <w:p w14:paraId="524677F9">
      <w:pPr>
        <w:pageBreakBefore w:val="0"/>
        <w:kinsoku/>
        <w:wordWrap/>
        <w:overflowPunct/>
        <w:topLinePunct w:val="0"/>
        <w:autoSpaceDE/>
        <w:autoSpaceDN/>
        <w:bidi w:val="0"/>
        <w:adjustRightInd/>
        <w:ind w:left="0" w:leftChars="0" w:firstLine="480" w:firstLineChars="200"/>
        <w:textAlignment w:val="auto"/>
        <w:rPr>
          <w:rFonts w:hint="eastAsia" w:ascii="宋体" w:hAnsi="宋体" w:cs="宋体"/>
          <w:color w:val="000000"/>
        </w:rPr>
      </w:pPr>
      <w:r>
        <w:rPr>
          <w:rFonts w:ascii="宋体" w:hAnsi="宋体" w:cs="宋体"/>
          <w:color w:val="000000"/>
        </w:rPr>
        <w:t>为提高机器学习模型在复杂光学系统中的预测可靠性，本研究并非完全依赖数据驱动方法，而是将光学物理模型融入机器学习流程。其中，随机森林利用物理仿真产生的样本数据建立参数与耦合效率之间的非线性映射关系，作为基础代理模型；进一步地，XGBoost通过学习高精度仿真结果与解析物理模型之间的残差关系，实现对传统物理模型误差的补偿，提高模型对复杂光学系统性能的预测能力。</w:t>
      </w:r>
      <w:r>
        <w:rPr>
          <w:rFonts w:hint="eastAsia" w:ascii="宋体" w:hAnsi="宋体" w:cs="宋体"/>
          <w:color w:val="000000"/>
        </w:rPr>
        <w:t>如图3-</w:t>
      </w:r>
      <w:r>
        <w:rPr>
          <w:rFonts w:hint="eastAsia" w:ascii="宋体" w:hAnsi="宋体" w:cs="宋体"/>
          <w:color w:val="000000"/>
          <w:lang w:val="en-US" w:eastAsia="zh-CN"/>
        </w:rPr>
        <w:t>6</w:t>
      </w:r>
      <w:r>
        <w:rPr>
          <w:rFonts w:hint="eastAsia" w:ascii="宋体" w:hAnsi="宋体" w:cs="宋体"/>
          <w:color w:val="000000"/>
        </w:rPr>
        <w:t>所示。</w:t>
      </w:r>
    </w:p>
    <w:p w14:paraId="74755F4D">
      <w:pPr>
        <w:pStyle w:val="9"/>
        <w:pageBreakBefore w:val="0"/>
        <w:kinsoku/>
        <w:wordWrap/>
        <w:overflowPunct/>
        <w:topLinePunct w:val="0"/>
        <w:autoSpaceDE/>
        <w:autoSpaceDN/>
        <w:bidi w:val="0"/>
        <w:adjustRightInd/>
        <w:ind w:left="0" w:leftChars="0"/>
        <w:textAlignment w:val="auto"/>
      </w:pPr>
      <w:r>
        <w:drawing>
          <wp:inline distT="0" distB="0" distL="114300" distR="114300">
            <wp:extent cx="5675630" cy="3288030"/>
            <wp:effectExtent l="0" t="0" r="127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3"/>
                    <a:stretch>
                      <a:fillRect/>
                    </a:stretch>
                  </pic:blipFill>
                  <pic:spPr>
                    <a:xfrm>
                      <a:off x="0" y="0"/>
                      <a:ext cx="5675630" cy="3288030"/>
                    </a:xfrm>
                    <a:prstGeom prst="rect">
                      <a:avLst/>
                    </a:prstGeom>
                    <a:noFill/>
                    <a:ln>
                      <a:noFill/>
                    </a:ln>
                  </pic:spPr>
                </pic:pic>
              </a:graphicData>
            </a:graphic>
          </wp:inline>
        </w:drawing>
      </w:r>
    </w:p>
    <w:p w14:paraId="55D5F0A0">
      <w:pPr>
        <w:pStyle w:val="9"/>
        <w:ind w:left="480"/>
        <w:jc w:val="center"/>
        <w:rPr>
          <w:rFonts w:hint="eastAsia" w:ascii="宋体" w:hAnsi="宋体" w:cs="宋体"/>
          <w:sz w:val="21"/>
          <w:szCs w:val="21"/>
        </w:rPr>
      </w:pPr>
      <w:r>
        <w:rPr>
          <w:rFonts w:hint="eastAsia" w:ascii="宋体" w:hAnsi="宋体" w:cs="宋体"/>
          <w:sz w:val="21"/>
          <w:szCs w:val="21"/>
        </w:rPr>
        <w:t>图</w:t>
      </w:r>
      <w:r>
        <w:rPr>
          <w:rFonts w:hint="default" w:ascii="Times New Roman" w:hAnsi="Times New Roman" w:cs="Times New Roman"/>
          <w:sz w:val="21"/>
          <w:szCs w:val="21"/>
          <w:lang w:val="en-US" w:eastAsia="zh-CN"/>
        </w:rPr>
        <w:t>3</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6</w:t>
      </w:r>
      <w:r>
        <w:rPr>
          <w:rFonts w:hint="eastAsia" w:ascii="宋体" w:hAnsi="宋体" w:cs="宋体"/>
          <w:sz w:val="21"/>
          <w:szCs w:val="21"/>
        </w:rPr>
        <w:t>传统机器学习与物理残差学习对比</w:t>
      </w:r>
    </w:p>
    <w:p w14:paraId="0B7D1A7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为了提高机器学习模型在光学系统中的可靠性，本项目并非完全依赖数据驱动方法，而是将光学物理模型融入机器学习过程。</w:t>
      </w:r>
    </w:p>
    <w:p w14:paraId="596C459A">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随机森林利用：</w:t>
      </w:r>
    </w:p>
    <w:p w14:paraId="29B71C02">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物理仿真数据→机器学习模型</w:t>
      </w:r>
    </w:p>
    <w:p w14:paraId="70BA4440">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学习光学参数与耦合效率之间的映射关系，建立基础预测模型。</w:t>
      </w:r>
    </w:p>
    <w:p w14:paraId="34D94F0D">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进一步地，XGBoost采用物理残差学习方法：</w:t>
      </w:r>
    </w:p>
    <w:p w14:paraId="0FBA6CAF">
      <w:pPr>
        <w:keepNext w:val="0"/>
        <w:keepLines w:val="0"/>
        <w:pageBreakBefore w:val="0"/>
        <w:kinsoku/>
        <w:wordWrap/>
        <w:overflowPunct/>
        <w:topLinePunct w:val="0"/>
        <w:autoSpaceDE/>
        <w:autoSpaceDN/>
        <w:bidi w:val="0"/>
        <w:adjustRightInd/>
        <w:snapToGrid/>
        <w:spacing w:beforeAutospacing="0" w:afterAutospacing="0"/>
        <w:ind w:left="0" w:leftChars="0" w:firstLine="480" w:firstLineChars="200"/>
        <w:textAlignment w:val="auto"/>
      </w:pPr>
      <w:r>
        <w:t>首先利用理论光学模型计算：</w:t>
      </w:r>
    </w:p>
    <w:p w14:paraId="7DE82992">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2" o:spt="75" type="#_x0000_t75" style="height:19pt;width:31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p>
    <w:p w14:paraId="4E8FC87D">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再计算高精度仿真结果与理论结果之间的差异：</w:t>
      </w:r>
    </w:p>
    <w:p w14:paraId="7D0B4663">
      <w:pPr>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rFonts w:hint="eastAsia" w:ascii="宋体" w:hAnsi="宋体" w:cs="宋体"/>
          <w:kern w:val="0"/>
          <w:position w:val="-14"/>
          <w:lang w:bidi="ar"/>
        </w:rPr>
        <w:object>
          <v:shape id="_x0000_i1033" o:spt="75" type="#_x0000_t75" style="height:19pt;width:106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p>
    <w:p w14:paraId="34984225">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随后利用</w:t>
      </w:r>
      <w:r>
        <w:rPr>
          <w:color w:val="000000"/>
        </w:rPr>
        <w:t xml:space="preserve"> XGBoost</w:t>
      </w:r>
      <w:r>
        <w:rPr>
          <w:rFonts w:ascii="宋体" w:hAnsi="宋体"/>
          <w:color w:val="000000"/>
        </w:rPr>
        <w:t xml:space="preserve"> 学习：</w:t>
      </w:r>
    </w:p>
    <w:p w14:paraId="502E5AC9">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0"/>
        </w:rPr>
        <w:object>
          <v:shape id="_x0000_i1034" o:spt="75" type="#_x0000_t75" style="height:16pt;width:46pt;" o:ole="t" filled="f" o:preferrelative="t" stroked="f" coordsize="21600,21600">
            <v:path/>
            <v:fill on="f" focussize="0,0"/>
            <v:stroke on="f" joinstyle="miter"/>
            <v:imagedata r:id="rId39" o:title=""/>
            <o:lock v:ext="edit" aspectratio="t"/>
            <w10:wrap type="none"/>
            <w10:anchorlock/>
          </v:shape>
          <o:OLEObject Type="Embed" ProgID="Equation.DSMT4" ShapeID="_x0000_i1034" DrawAspect="Content" ObjectID="_1468075734" r:id="rId38">
            <o:LockedField>false</o:LockedField>
          </o:OLEObject>
        </w:object>
      </w:r>
    </w:p>
    <w:p w14:paraId="1D5DA69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最终得到：</w:t>
      </w:r>
    </w:p>
    <w:p w14:paraId="2CCCB2F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jc w:val="center"/>
        <w:textAlignment w:val="auto"/>
      </w:pPr>
      <w:r>
        <w:rPr>
          <w:position w:val="-14"/>
        </w:rPr>
        <w:object>
          <v:shape id="_x0000_i1035" o:spt="75" type="#_x0000_t75" style="height:19pt;width:125pt;" o:ole="t" filled="f" o:preferrelative="t" stroked="f" coordsize="21600,21600">
            <v:path/>
            <v:fill on="f" focussize="0,0"/>
            <v:stroke on="f" joinstyle="miter"/>
            <v:imagedata r:id="rId41" o:title=""/>
            <o:lock v:ext="edit" aspectratio="t"/>
            <w10:wrap type="none"/>
            <w10:anchorlock/>
          </v:shape>
          <o:OLEObject Type="Embed" ProgID="Equation.DSMT4" ShapeID="_x0000_i1035" DrawAspect="Content" ObjectID="_1468075735" r:id="rId40">
            <o:LockedField>false</o:LockedField>
          </o:OLEObject>
        </w:object>
      </w:r>
    </w:p>
    <w:p w14:paraId="43FA8BD7">
      <w:pPr>
        <w:pStyle w:val="14"/>
        <w:keepNext w:val="0"/>
        <w:keepLines w:val="0"/>
        <w:pageBreakBefore w:val="0"/>
        <w:widowControl/>
        <w:kinsoku/>
        <w:wordWrap/>
        <w:overflowPunct/>
        <w:topLinePunct w:val="0"/>
        <w:autoSpaceDE/>
        <w:autoSpaceDN/>
        <w:bidi w:val="0"/>
        <w:adjustRightInd/>
        <w:snapToGrid/>
        <w:spacing w:beforeAutospacing="0" w:afterAutospacing="0"/>
        <w:ind w:left="0" w:leftChars="0" w:firstLine="480" w:firstLineChars="200"/>
        <w:textAlignment w:val="auto"/>
      </w:pPr>
      <w:r>
        <w:rPr>
          <w:rFonts w:ascii="宋体" w:hAnsi="宋体"/>
          <w:color w:val="000000"/>
        </w:rPr>
        <w:t>通过这种方式，物理模型提供基础规律，机器学习负责补偿复杂因素造成的误差，提高预测精度。</w:t>
      </w:r>
    </w:p>
    <w:p w14:paraId="7DD39656">
      <w:pPr>
        <w:pStyle w:val="3"/>
        <w:spacing w:before="249" w:after="249"/>
      </w:pPr>
      <w:bookmarkStart w:id="33" w:name="_Toc3279"/>
      <w:r>
        <w:rPr>
          <w:rFonts w:hint="eastAsia"/>
        </w:rPr>
        <w:t>3.4寻优算法</w:t>
      </w:r>
      <w:bookmarkEnd w:id="33"/>
    </w:p>
    <w:p w14:paraId="393B5C46">
      <w:pPr>
        <w:pStyle w:val="4"/>
        <w:spacing w:before="156" w:after="156"/>
      </w:pPr>
      <w:bookmarkStart w:id="34" w:name="_Toc23865"/>
      <w:r>
        <w:rPr>
          <w:rFonts w:hint="eastAsia"/>
        </w:rPr>
        <w:t>3.4.1贝叶斯优化和差分进化算法原理</w:t>
      </w:r>
      <w:bookmarkEnd w:id="34"/>
    </w:p>
    <w:p w14:paraId="354FCD29">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贝叶斯优化（Bayesian Optimization，BO）是一种基于概率模型的智能优化算法，其核心思想是利用已有计算结果建立目标函数的代理模型，并根据预测结果和不确定性选择下一次最值得计算的参数位置。</w:t>
      </w:r>
    </w:p>
    <w:p w14:paraId="517E6EA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相比传统遍历搜索方法，贝叶斯优化能够在较少目标函数评价次数下寻找较优解，因此适用于计算成本较高的光学仿真问题。</w:t>
      </w:r>
    </w:p>
    <w:p w14:paraId="7A68689D">
      <w:pPr>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设光学参数：</w:t>
      </w:r>
    </w:p>
    <w:p w14:paraId="12824E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36" o:spt="75" type="#_x0000_t75" style="height:18pt;width:89pt;" o:ole="t" filled="f" o:preferrelative="t" stroked="f" coordsize="21600,21600">
            <v:path/>
            <v:fill on="f" focussize="0,0"/>
            <v:stroke on="f" joinstyle="miter"/>
            <v:imagedata r:id="rId43" o:title=""/>
            <o:lock v:ext="edit" aspectratio="t"/>
            <w10:wrap type="none"/>
            <w10:anchorlock/>
          </v:shape>
          <o:OLEObject Type="Embed" ProgID="Equation.DSMT4" ShapeID="_x0000_i1036" DrawAspect="Content" ObjectID="_1468075736" r:id="rId42">
            <o:LockedField>false</o:LockedField>
          </o:OLEObject>
        </w:object>
      </w:r>
    </w:p>
    <w:p w14:paraId="2C1289BD">
      <w:pPr>
        <w:pageBreakBefore w:val="0"/>
        <w:widowControl w:val="0"/>
        <w:kinsoku/>
        <w:wordWrap/>
        <w:overflowPunct/>
        <w:topLinePunct w:val="0"/>
        <w:autoSpaceDE/>
        <w:autoSpaceDN/>
        <w:bidi w:val="0"/>
        <w:adjustRightInd/>
        <w:snapToGrid/>
        <w:ind w:left="0" w:leftChars="0"/>
        <w:textAlignment w:val="auto"/>
        <w:rPr>
          <w:rFonts w:hint="eastAsia" w:ascii="宋体" w:hAnsi="宋体"/>
          <w:color w:val="000000"/>
        </w:rPr>
      </w:pPr>
      <w:r>
        <w:rPr>
          <w:rFonts w:ascii="宋体" w:hAnsi="宋体"/>
          <w:color w:val="000000"/>
        </w:rPr>
        <w:t>目标函数：</w:t>
      </w:r>
    </w:p>
    <w:p w14:paraId="5E3AE788">
      <w:pPr>
        <w:pStyle w:val="9"/>
        <w:pageBreakBefore w:val="0"/>
        <w:widowControl w:val="0"/>
        <w:kinsoku/>
        <w:wordWrap/>
        <w:overflowPunct/>
        <w:topLinePunct w:val="0"/>
        <w:autoSpaceDE/>
        <w:autoSpaceDN/>
        <w:bidi w:val="0"/>
        <w:adjustRightInd/>
        <w:snapToGrid/>
        <w:ind w:left="0" w:leftChars="0"/>
        <w:textAlignment w:val="auto"/>
      </w:pPr>
      <w:r>
        <w:pict>
          <v:shape id="_x0000_s2053" o:spid="_x0000_s2053" o:spt="75" type="#_x0000_t75" style="position:absolute;left:0pt;margin-left:223.05pt;margin-top:5.5pt;height:15.75pt;width:36.75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45" o:title=""/>
            <o:lock v:ext="edit" aspectratio="t"/>
            <w10:wrap type="square" side="right"/>
          </v:shape>
          <o:OLEObject Type="Embed" ProgID="Equation.DSMT4" ShapeID="_x0000_s2053" DrawAspect="Content" ObjectID="_1468075737" r:id="rId44">
            <o:LockedField>false</o:LockedField>
          </o:OLEObject>
        </w:pict>
      </w:r>
    </w:p>
    <w:p w14:paraId="14D13E60">
      <w:pPr>
        <w:pStyle w:val="9"/>
        <w:pageBreakBefore w:val="0"/>
        <w:widowControl w:val="0"/>
        <w:kinsoku/>
        <w:wordWrap/>
        <w:overflowPunct/>
        <w:topLinePunct w:val="0"/>
        <w:autoSpaceDE/>
        <w:autoSpaceDN/>
        <w:bidi w:val="0"/>
        <w:adjustRightInd/>
        <w:snapToGrid/>
        <w:ind w:left="0" w:leftChars="0"/>
        <w:textAlignment w:val="auto"/>
      </w:pPr>
      <w:r>
        <w:rPr>
          <w:rFonts w:ascii="宋体" w:hAnsi="宋体"/>
          <w:color w:val="000000"/>
        </w:rPr>
        <w:t>其中：</w:t>
      </w:r>
      <w:r>
        <w:rPr>
          <w:position w:val="-10"/>
        </w:rPr>
        <w:object>
          <v:shape id="_x0000_i1037" o:spt="75" type="#_x0000_t75" style="height:16pt;width:24pt;" o:ole="t" filled="f" o:preferrelative="t" stroked="f" coordsize="21600,21600">
            <v:path/>
            <v:fill on="f" focussize="0,0"/>
            <v:stroke on="f" joinstyle="miter"/>
            <v:imagedata r:id="rId47" o:title=""/>
            <o:lock v:ext="edit" aspectratio="t"/>
            <w10:wrap type="none"/>
            <w10:anchorlock/>
          </v:shape>
          <o:OLEObject Type="Embed" ProgID="Equation.DSMT4" ShapeID="_x0000_i1037" DrawAspect="Content" ObjectID="_1468075738" r:id="rId46">
            <o:LockedField>false</o:LockedField>
          </o:OLEObject>
        </w:object>
      </w:r>
      <w:r>
        <w:rPr>
          <w:rFonts w:ascii="宋体" w:hAnsi="宋体"/>
          <w:color w:val="000000"/>
        </w:rPr>
        <w:t>表示真实光学仿真得到的耦合效率。</w:t>
      </w:r>
    </w:p>
    <w:p w14:paraId="3A52A6E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由于真实函数计算成本较高，贝叶斯优化首先建立代理模型：</w:t>
      </w:r>
      <w:r>
        <w:rPr>
          <w:position w:val="-10"/>
        </w:rPr>
        <w:object>
          <v:shape id="_x0000_i1038" o:spt="75" type="#_x0000_t75" style="height:19pt;width:31pt;" o:ole="t" filled="f" o:preferrelative="t" stroked="f" coordsize="21600,21600">
            <v:path/>
            <v:fill on="f" focussize="0,0"/>
            <v:stroke on="f" joinstyle="miter"/>
            <v:imagedata r:id="rId49" o:title=""/>
            <o:lock v:ext="edit" aspectratio="t"/>
            <w10:wrap type="none"/>
            <w10:anchorlock/>
          </v:shape>
          <o:OLEObject Type="Embed" ProgID="Equation.DSMT4" ShapeID="_x0000_i1038" DrawAspect="Content" ObjectID="_1468075739" r:id="rId48">
            <o:LockedField>false</o:LockedField>
          </o:OLEObject>
        </w:object>
      </w:r>
    </w:p>
    <w:p w14:paraId="0FDA4823">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代理模型通常表示为：</w:t>
      </w:r>
    </w:p>
    <w:p w14:paraId="440E141F">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0"/>
        </w:rPr>
        <w:object>
          <v:shape id="_x0000_i1039" o:spt="75" type="#_x0000_t75" style="height:19pt;width:109pt;" o:ole="t" filled="f" o:preferrelative="t" stroked="f" coordsize="21600,21600">
            <v:path/>
            <v:fill on="f" focussize="0,0"/>
            <v:stroke on="f" joinstyle="miter"/>
            <v:imagedata r:id="rId51" o:title=""/>
            <o:lock v:ext="edit" aspectratio="t"/>
            <w10:wrap type="none"/>
            <w10:anchorlock/>
          </v:shape>
          <o:OLEObject Type="Embed" ProgID="Equation.DSMT4" ShapeID="_x0000_i1039" DrawAspect="Content" ObjectID="_1468075740" r:id="rId50">
            <o:LockedField>false</o:LockedField>
          </o:OLEObject>
        </w:object>
      </w:r>
    </w:p>
    <w:p w14:paraId="6B26C5F2">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4984C934">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0" o:spt="75" type="#_x0000_t75" style="height:16pt;width:31pt;" o:ole="t" filled="f" o:preferrelative="t" stroked="f" coordsize="21600,21600">
            <v:path/>
            <v:fill on="f" focussize="0,0"/>
            <v:stroke on="f" joinstyle="miter"/>
            <v:imagedata r:id="rId53" o:title=""/>
            <o:lock v:ext="edit" aspectratio="t"/>
            <w10:wrap type="none"/>
            <w10:anchorlock/>
          </v:shape>
          <o:OLEObject Type="Embed" ProgID="Equation.DSMT4" ShapeID="_x0000_i1040" DrawAspect="Content" ObjectID="_1468075741" r:id="rId52">
            <o:LockedField>false</o:LockedField>
          </o:OLEObject>
        </w:object>
      </w:r>
      <w:r>
        <w:rPr>
          <w:rFonts w:ascii="宋体" w:hAnsi="宋体"/>
          <w:color w:val="000000"/>
        </w:rPr>
        <w:t xml:space="preserve">：预测性能； </w:t>
      </w:r>
    </w:p>
    <w:p w14:paraId="0627A623">
      <w:pPr>
        <w:pageBreakBefore w:val="0"/>
        <w:widowControl w:val="0"/>
        <w:numPr>
          <w:ilvl w:val="0"/>
          <w:numId w:val="1"/>
        </w:numPr>
        <w:kinsoku/>
        <w:wordWrap/>
        <w:overflowPunct/>
        <w:topLinePunct w:val="0"/>
        <w:autoSpaceDE/>
        <w:autoSpaceDN/>
        <w:bidi w:val="0"/>
        <w:adjustRightInd/>
        <w:snapToGrid/>
        <w:ind w:left="0" w:leftChars="0" w:firstLine="480" w:firstLineChars="200"/>
        <w:textAlignment w:val="auto"/>
      </w:pPr>
      <w:r>
        <w:rPr>
          <w:position w:val="-10"/>
        </w:rPr>
        <w:object>
          <v:shape id="_x0000_i1041" o:spt="75" type="#_x0000_t75" style="height:16pt;width:31pt;" o:ole="t" filled="f" o:preferrelative="t" stroked="f" coordsize="21600,21600">
            <v:path/>
            <v:fill on="f" focussize="0,0"/>
            <v:stroke on="f" joinstyle="miter"/>
            <v:imagedata r:id="rId55" o:title=""/>
            <o:lock v:ext="edit" aspectratio="t"/>
            <w10:wrap type="none"/>
            <w10:anchorlock/>
          </v:shape>
          <o:OLEObject Type="Embed" ProgID="Equation.DSMT4" ShapeID="_x0000_i1041" DrawAspect="Content" ObjectID="_1468075742" r:id="rId54">
            <o:LockedField>false</o:LockedField>
          </o:OLEObject>
        </w:object>
      </w:r>
      <w:r>
        <w:rPr>
          <w:rFonts w:ascii="宋体" w:hAnsi="宋体"/>
          <w:color w:val="000000"/>
        </w:rPr>
        <w:t xml:space="preserve">：预测不确定性。 </w:t>
      </w:r>
    </w:p>
    <w:p w14:paraId="3A1D42D0">
      <w:pPr>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olor w:val="000000"/>
        </w:rPr>
      </w:pPr>
      <w:r>
        <w:rPr>
          <w:rFonts w:ascii="宋体" w:hAnsi="宋体"/>
          <w:color w:val="000000"/>
        </w:rPr>
        <w:t>随后通过采集函数选择下一组计算参数：</w:t>
      </w:r>
    </w:p>
    <w:p w14:paraId="0F9904F3">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2" o:spt="75" type="#_x0000_t75" style="height:18pt;width:103pt;" o:ole="t" filled="f" o:preferrelative="t" stroked="f" coordsize="21600,21600">
            <v:path/>
            <v:fill on="f" focussize="0,0"/>
            <v:stroke on="f" joinstyle="miter"/>
            <v:imagedata r:id="rId57" o:title=""/>
            <o:lock v:ext="edit" aspectratio="t"/>
            <w10:wrap type="none"/>
            <w10:anchorlock/>
          </v:shape>
          <o:OLEObject Type="Embed" ProgID="Equation.DSMT4" ShapeID="_x0000_i1042" DrawAspect="Content" ObjectID="_1468075743" r:id="rId56">
            <o:LockedField>false</o:LockedField>
          </o:OLEObject>
        </w:object>
      </w:r>
    </w:p>
    <w:p w14:paraId="7C5F9A8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7AB7BBA7">
      <w:pPr>
        <w:pageBreakBefore w:val="0"/>
        <w:widowControl w:val="0"/>
        <w:kinsoku/>
        <w:wordWrap/>
        <w:overflowPunct/>
        <w:topLinePunct w:val="0"/>
        <w:autoSpaceDE/>
        <w:autoSpaceDN/>
        <w:bidi w:val="0"/>
        <w:adjustRightInd/>
        <w:snapToGrid/>
        <w:ind w:left="0" w:leftChars="0" w:firstLine="480" w:firstLineChars="200"/>
        <w:textAlignment w:val="auto"/>
      </w:pPr>
      <w:r>
        <w:rPr>
          <w:position w:val="-10"/>
        </w:rPr>
        <w:object>
          <v:shape id="_x0000_i1043" o:spt="75" type="#_x0000_t75" style="height:16pt;width:31pt;" o:ole="t" filled="f" o:preferrelative="t" stroked="f" coordsize="21600,21600">
            <v:path/>
            <v:fill on="f" focussize="0,0"/>
            <v:stroke on="f" joinstyle="miter"/>
            <v:imagedata r:id="rId59" o:title=""/>
            <o:lock v:ext="edit" aspectratio="t"/>
            <w10:wrap type="none"/>
            <w10:anchorlock/>
          </v:shape>
          <o:OLEObject Type="Embed" ProgID="Equation.DSMT4" ShapeID="_x0000_i1043" DrawAspect="Content" ObjectID="_1468075744" r:id="rId58">
            <o:LockedField>false</o:LockedField>
          </o:OLEObject>
        </w:object>
      </w:r>
      <w:r>
        <w:rPr>
          <w:rFonts w:ascii="宋体" w:hAnsi="宋体"/>
          <w:color w:val="000000"/>
        </w:rPr>
        <w:t>综合考虑预测性能和不确定性。</w:t>
      </w:r>
    </w:p>
    <w:p w14:paraId="75A6DFB0">
      <w:pPr>
        <w:pageBreakBefore w:val="0"/>
        <w:widowControl w:val="0"/>
        <w:kinsoku/>
        <w:wordWrap/>
        <w:overflowPunct/>
        <w:topLinePunct w:val="0"/>
        <w:autoSpaceDE/>
        <w:autoSpaceDN/>
        <w:bidi w:val="0"/>
        <w:adjustRightInd/>
        <w:snapToGrid/>
        <w:ind w:left="0" w:leftChars="0" w:firstLine="480" w:firstLineChars="200"/>
        <w:textAlignment w:val="auto"/>
      </w:pPr>
      <w:r>
        <w:t>差分进化（Differential Evolution，DE）是一种基于群体进化思想的全局优化算法。</w:t>
      </w:r>
    </w:p>
    <w:p w14:paraId="1DE0640B">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其核心思想是：</w:t>
      </w:r>
    </w:p>
    <w:p w14:paraId="446AAC46">
      <w:pPr>
        <w:pageBreakBefore w:val="0"/>
        <w:widowControl w:val="0"/>
        <w:kinsoku/>
        <w:wordWrap/>
        <w:overflowPunct/>
        <w:topLinePunct w:val="0"/>
        <w:autoSpaceDE/>
        <w:autoSpaceDN/>
        <w:bidi w:val="0"/>
        <w:adjustRightInd/>
        <w:snapToGrid/>
        <w:ind w:left="0" w:leftChars="0" w:firstLine="480" w:firstLineChars="200"/>
        <w:textAlignment w:val="auto"/>
      </w:pPr>
      <w:r>
        <w:t>通过维护一组候选参数，通过变异、交叉和选择操作，使种群逐渐向高性能区域演化。</w:t>
      </w:r>
    </w:p>
    <w:p w14:paraId="4B5FCEB3">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（2）种群表示</w:t>
      </w:r>
    </w:p>
    <w:p w14:paraId="358977A1">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color w:val="000000"/>
        </w:rPr>
      </w:pPr>
      <w:r>
        <w:rPr>
          <w:rFonts w:ascii="宋体" w:hAnsi="宋体"/>
          <w:color w:val="000000"/>
        </w:rPr>
        <w:t>初始化：</w:t>
      </w:r>
    </w:p>
    <w:p w14:paraId="75BF23B7">
      <w:pPr>
        <w:pageBreakBefore w:val="0"/>
        <w:widowControl w:val="0"/>
        <w:kinsoku/>
        <w:wordWrap/>
        <w:overflowPunct/>
        <w:topLinePunct w:val="0"/>
        <w:autoSpaceDE/>
        <w:autoSpaceDN/>
        <w:bidi w:val="0"/>
        <w:adjustRightInd/>
        <w:snapToGrid/>
        <w:ind w:left="0" w:leftChars="0" w:firstLine="480" w:firstLineChars="200"/>
        <w:jc w:val="center"/>
        <w:textAlignment w:val="auto"/>
      </w:pPr>
      <w:r>
        <w:rPr>
          <w:position w:val="-12"/>
        </w:rPr>
        <w:object>
          <v:shape id="_x0000_i1044" o:spt="75" type="#_x0000_t75" style="height:18pt;width:101pt;" o:ole="t" filled="f" o:preferrelative="t" stroked="f" coordsize="21600,21600">
            <v:path/>
            <v:fill on="f" focussize="0,0"/>
            <v:stroke on="f" joinstyle="miter"/>
            <v:imagedata r:id="rId61" o:title=""/>
            <o:lock v:ext="edit" aspectratio="t"/>
            <w10:wrap type="none"/>
            <w10:anchorlock/>
          </v:shape>
          <o:OLEObject Type="Embed" ProgID="Equation.DSMT4" ShapeID="_x0000_i1044" DrawAspect="Content" ObjectID="_1468075745" r:id="rId60">
            <o:LockedField>false</o:LockedField>
          </o:OLEObject>
        </w:object>
      </w:r>
    </w:p>
    <w:p w14:paraId="40CA279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265D3B99">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N</m:t>
        </m:r>
      </m:oMath>
      <w:r>
        <w:rPr>
          <w:rFonts w:ascii="宋体" w:hAnsi="宋体"/>
          <w:color w:val="000000"/>
        </w:rPr>
        <w:t xml:space="preserve">：种群规模； </w:t>
      </w:r>
    </w:p>
    <w:p w14:paraId="61C42676">
      <w:pPr>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olor w:val="000000"/>
        </w:rPr>
        <w:t xml:space="preserve">：第 </w:t>
      </w:r>
      <m:oMath>
        <m:r>
          <m:rPr/>
          <w:rPr>
            <w:rFonts w:ascii="Cambria Math" w:hAnsi="Cambria Math"/>
          </w:rPr>
          <m:t>i</m:t>
        </m:r>
      </m:oMath>
      <w:r>
        <w:rPr>
          <w:rFonts w:ascii="宋体" w:hAnsi="宋体"/>
          <w:color w:val="000000"/>
        </w:rPr>
        <w:t xml:space="preserve">个候选光学参数组合。 </w:t>
      </w:r>
    </w:p>
    <w:p w14:paraId="3D045A7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r>
        <w:rPr>
          <w:position w:val="-12"/>
        </w:rPr>
        <w:object>
          <v:shape id="_x0000_i1045" o:spt="75" type="#_x0000_t75" style="height:18pt;width:103.95pt;" o:ole="t" filled="f" o:preferrelative="t" stroked="f" coordsize="21600,21600">
            <v:path/>
            <v:fill on="f" focussize="0,0"/>
            <v:stroke on="f" joinstyle="miter"/>
            <v:imagedata r:id="rId63" o:title=""/>
            <o:lock v:ext="edit" aspectratio="t"/>
            <w10:wrap type="none"/>
            <w10:anchorlock/>
          </v:shape>
          <o:OLEObject Type="Embed" ProgID="Equation.DSMT4" ShapeID="_x0000_i1045" DrawAspect="Content" ObjectID="_1468075746" r:id="rId62">
            <o:LockedField>false</o:LockedField>
          </o:OLEObject>
        </w:object>
      </w:r>
      <w:r>
        <w:t>表示一种透镜结构方案。</w:t>
      </w:r>
    </w:p>
    <w:p w14:paraId="6B0EE8F5">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（3）变异操作</w:t>
      </w:r>
    </w:p>
    <w:p w14:paraId="360BF085">
      <w:pPr>
        <w:pageBreakBefore w:val="0"/>
        <w:widowControl w:val="0"/>
        <w:kinsoku/>
        <w:wordWrap/>
        <w:overflowPunct/>
        <w:topLinePunct w:val="0"/>
        <w:autoSpaceDE/>
        <w:autoSpaceDN/>
        <w:bidi w:val="0"/>
        <w:adjustRightInd/>
        <w:snapToGrid/>
        <w:ind w:left="0" w:leftChars="0" w:firstLine="480" w:firstLineChars="200"/>
        <w:textAlignment w:val="auto"/>
      </w:pPr>
      <w:r>
        <w:t>差分进化利用不同个体之间的差异产生新的搜索方向：</w:t>
      </w:r>
    </w:p>
    <w:p w14:paraId="0316FF5A">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r>
            <m:rPr>
              <m:sty m:val="p"/>
            </m:rPr>
            <w:br w:type="textWrapping"/>
          </m:r>
        </m:oMath>
      </m:oMathPara>
    </w:p>
    <w:p w14:paraId="244EDBC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其中：</w:t>
      </w:r>
    </w:p>
    <w:p w14:paraId="0052A1CA">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r>
          <m:rPr/>
          <w:rPr>
            <w:rFonts w:ascii="Cambria Math" w:hAnsi="Cambria Math"/>
          </w:rPr>
          <m:t>F</m:t>
        </m:r>
      </m:oMath>
      <w:r>
        <w:rPr>
          <w:rFonts w:ascii="宋体" w:hAnsi="宋体"/>
          <w:color w:val="000000"/>
        </w:rPr>
        <w:t xml:space="preserve">：缩放因子； </w:t>
      </w:r>
    </w:p>
    <w:p w14:paraId="7D157ED9">
      <w:pPr>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color w:val="000000"/>
        </w:rPr>
        <w:t xml:space="preserve">：随机选择的不同个体。 </w:t>
      </w:r>
    </w:p>
    <w:p w14:paraId="3CB03B14">
      <w:pPr>
        <w:pageBreakBefore w:val="0"/>
        <w:widowControl w:val="0"/>
        <w:kinsoku/>
        <w:wordWrap/>
        <w:overflowPunct/>
        <w:topLinePunct w:val="0"/>
        <w:autoSpaceDE/>
        <w:autoSpaceDN/>
        <w:bidi w:val="0"/>
        <w:adjustRightInd/>
        <w:snapToGrid/>
        <w:ind w:left="0" w:leftChars="0" w:firstLine="482" w:firstLineChars="200"/>
        <w:textAlignment w:val="auto"/>
        <w:rPr>
          <w:b/>
          <w:bCs/>
        </w:rPr>
      </w:pPr>
      <w:r>
        <w:rPr>
          <w:rFonts w:ascii="宋体" w:hAnsi="宋体"/>
          <w:b/>
          <w:bCs/>
          <w:color w:val="000000"/>
        </w:rPr>
        <w:t>（4）选择操作</w:t>
      </w:r>
    </w:p>
    <w:p w14:paraId="4FD733E0">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比较新方案和旧方案的目标函数：</w:t>
      </w:r>
    </w:p>
    <w:p w14:paraId="0DEDE867">
      <w:pPr>
        <w:pageBreakBefore w:val="0"/>
        <w:widowControl w:val="0"/>
        <w:kinsoku/>
        <w:wordWrap/>
        <w:overflowPunct/>
        <w:topLinePunct w:val="0"/>
        <w:autoSpaceDE/>
        <w:autoSpaceDN/>
        <w:bidi w:val="0"/>
        <w:adjustRightInd/>
        <w:snapToGrid/>
        <w:ind w:left="0" w:leftChars="0" w:firstLine="480" w:firstLineChars="200"/>
        <w:textAlignment w:val="auto"/>
      </w:pPr>
      <m:oMathPara>
        <m:oMath>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&lt;f</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br w:type="textWrapping"/>
          </m:r>
        </m:oMath>
      </m:oMathPara>
    </w:p>
    <w:p w14:paraId="7AF96A97">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则保留新方案：</w:t>
      </w:r>
    </w:p>
    <w:p w14:paraId="4D7B2561">
      <w:pPr>
        <w:pageBreakBefore w:val="0"/>
        <w:widowControl w:val="0"/>
        <w:kinsoku/>
        <w:wordWrap/>
        <w:overflowPunct/>
        <w:topLinePunct w:val="0"/>
        <w:autoSpaceDE/>
        <w:autoSpaceDN/>
        <w:bidi w:val="0"/>
        <w:adjustRightInd/>
        <w:snapToGrid/>
        <w:ind w:left="0" w:leftChars="0" w:firstLine="480" w:firstLineChars="200"/>
        <w:textAlignment w:val="auto"/>
      </w:pPr>
      <m:oMathPara>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br w:type="textWrapping"/>
          </m:r>
        </m:oMath>
      </m:oMathPara>
    </w:p>
    <w:p w14:paraId="0855E444">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经过多轮迭代：</w:t>
      </w:r>
    </w:p>
    <w:p w14:paraId="6222B900">
      <w:pPr>
        <w:pageBreakBefore w:val="0"/>
        <w:widowControl w:val="0"/>
        <w:kinsoku/>
        <w:wordWrap/>
        <w:overflowPunct/>
        <w:topLinePunct w:val="0"/>
        <w:autoSpaceDE/>
        <w:autoSpaceDN/>
        <w:bidi w:val="0"/>
        <w:adjustRightInd/>
        <w:snapToGrid/>
        <w:ind w:left="0" w:leftChars="0" w:firstLine="480" w:firstLineChars="200"/>
        <w:textAlignment w:val="auto"/>
      </w:pPr>
      <m:oMathPara>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1</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m:sty m:val="p"/>
            </m:rPr>
            <w:br w:type="textWrapping"/>
          </m:r>
        </m:oMath>
      </m:oMathPara>
    </w:p>
    <w:p w14:paraId="69202CF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最终获得较优参数组合。</w:t>
      </w:r>
    </w:p>
    <w:p w14:paraId="1269ABCB">
      <w:pPr>
        <w:pageBreakBefore w:val="0"/>
        <w:widowControl w:val="0"/>
        <w:kinsoku/>
        <w:wordWrap/>
        <w:overflowPunct/>
        <w:topLinePunct w:val="0"/>
        <w:autoSpaceDE/>
        <w:autoSpaceDN/>
        <w:bidi w:val="0"/>
        <w:adjustRightInd/>
        <w:snapToGrid/>
        <w:ind w:left="0" w:leftChars="0" w:firstLine="482" w:firstLineChars="200"/>
        <w:textAlignment w:val="auto"/>
        <w:rPr>
          <w:b/>
          <w:bCs/>
        </w:rPr>
      </w:pPr>
    </w:p>
    <w:p w14:paraId="7AF036BA">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差分进化主要用于：</w:t>
      </w:r>
    </w:p>
    <w:p w14:paraId="6C706F4F">
      <w:pPr>
        <w:pageBreakBefore w:val="0"/>
        <w:widowControl w:val="0"/>
        <w:kinsoku/>
        <w:wordWrap/>
        <w:overflowPunct/>
        <w:topLinePunct w:val="0"/>
        <w:autoSpaceDE/>
        <w:autoSpaceDN/>
        <w:bidi w:val="0"/>
        <w:adjustRightInd/>
        <w:snapToGrid/>
        <w:ind w:left="0" w:leftChars="0" w:firstLine="480" w:firstLineChars="200"/>
        <w:textAlignment w:val="auto"/>
      </w:pPr>
      <m:oMathPara>
        <m:oMath>
          <m:borderBox>
            <m:borderBoxPr>
              <m:ctrlPr>
                <w:rPr>
                  <w:rFonts w:ascii="Cambria Math" w:hAnsi="Cambria Math"/>
                </w:rPr>
              </m:ctrlPr>
            </m:borderBoxPr>
            <m:e>
              <m:r>
                <m:rPr>
                  <m:nor/>
                  <m:sty m:val="p"/>
                </m:rPr>
                <w:rPr>
                  <w:b w:val="0"/>
                  <w:i w:val="0"/>
                </w:rPr>
                <m:t>高维、多峰光学参数空间搜索</m:t>
              </m:r>
              <m:ctrlPr>
                <w:rPr>
                  <w:rFonts w:ascii="Cambria Math" w:hAnsi="Cambria Math"/>
                </w:rPr>
              </m:ctrlPr>
            </m:e>
          </m:borderBox>
          <m:r>
            <m:rPr>
              <m:sty m:val="p"/>
            </m:rPr>
            <w:br w:type="textWrapping"/>
          </m:r>
        </m:oMath>
      </m:oMathPara>
    </w:p>
    <w:p w14:paraId="306B1FB6">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例如：</w:t>
      </w:r>
    </w:p>
    <w:p w14:paraId="18AC6641">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同时优化：</w:t>
      </w:r>
    </w:p>
    <w:p w14:paraId="28DB9CFD">
      <w:pPr>
        <w:pageBreakBefore w:val="0"/>
        <w:widowControl w:val="0"/>
        <w:kinsoku/>
        <w:wordWrap/>
        <w:overflowPunct/>
        <w:topLinePunct w:val="0"/>
        <w:autoSpaceDE/>
        <w:autoSpaceDN/>
        <w:bidi w:val="0"/>
        <w:adjustRightInd/>
        <w:snapToGrid/>
        <w:ind w:left="0" w:leftChars="0" w:firstLine="480" w:firstLineChars="200"/>
        <w:textAlignment w:val="auto"/>
      </w:pPr>
      <m:oMathPara>
        <m:oMath>
          <m:d>
            <m:dPr>
              <m:sep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e>
          </m:d>
          <m:r>
            <m:rPr>
              <m:sty m:val="p"/>
            </m:rPr>
            <w:br w:type="textWrapping"/>
          </m:r>
        </m:oMath>
      </m:oMathPara>
    </w:p>
    <w:p w14:paraId="0C22536E">
      <w:pPr>
        <w:pageBreakBefore w:val="0"/>
        <w:widowControl w:val="0"/>
        <w:kinsoku/>
        <w:wordWrap/>
        <w:overflowPunct/>
        <w:topLinePunct w:val="0"/>
        <w:autoSpaceDE/>
        <w:autoSpaceDN/>
        <w:bidi w:val="0"/>
        <w:adjustRightInd/>
        <w:snapToGrid/>
        <w:ind w:left="0" w:leftChars="0" w:firstLine="480" w:firstLineChars="200"/>
        <w:textAlignment w:val="auto"/>
      </w:pPr>
      <w:r>
        <w:t>由于光学系统可能存在多个局部最优点，差分进化能够通过种群搜索避免陷入单一区域。</w:t>
      </w:r>
    </w:p>
    <w:p w14:paraId="1BE75B4F">
      <w:pPr>
        <w:pageBreakBefore w:val="0"/>
        <w:widowControl w:val="0"/>
        <w:kinsoku/>
        <w:wordWrap/>
        <w:overflowPunct/>
        <w:topLinePunct w:val="0"/>
        <w:autoSpaceDE/>
        <w:autoSpaceDN/>
        <w:bidi w:val="0"/>
        <w:adjustRightInd/>
        <w:snapToGrid/>
        <w:ind w:left="0" w:leftChars="0" w:firstLine="480" w:firstLineChars="200"/>
        <w:textAlignment w:val="auto"/>
      </w:pPr>
    </w:p>
    <w:p w14:paraId="15A6AFF5">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5" w:name="_Toc6445"/>
      <w:r>
        <w:rPr>
          <w:rFonts w:hint="eastAsia"/>
        </w:rPr>
        <w:t>3.4.2 Powell优化算法</w:t>
      </w:r>
      <w:bookmarkEnd w:id="35"/>
    </w:p>
    <w:p w14:paraId="36B8FDB5">
      <w:pPr>
        <w:pageBreakBefore w:val="0"/>
        <w:widowControl w:val="0"/>
        <w:kinsoku/>
        <w:wordWrap/>
        <w:overflowPunct/>
        <w:topLinePunct w:val="0"/>
        <w:autoSpaceDE/>
        <w:autoSpaceDN/>
        <w:bidi w:val="0"/>
        <w:adjustRightInd/>
        <w:snapToGrid/>
        <w:ind w:left="0" w:leftChars="0" w:firstLine="480" w:firstLineChars="200"/>
        <w:textAlignment w:val="auto"/>
      </w:pPr>
      <w:r>
        <w:rPr>
          <w:rFonts w:ascii="宋体" w:hAnsi="宋体"/>
          <w:color w:val="000000"/>
        </w:rPr>
        <w:t>Powell 算法是一种不依赖梯度的一维方向搜索方法，适合目标函数由正式光学仿真给出、局部响应非线性且难以获得解析梯度的场景。算法从一组共轭搜索方向出发，沿每个方向进行一维搜索，并根据目标函数下降效果更新方向。</w:t>
      </w:r>
    </w:p>
    <w:p w14:paraId="71E9C8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在本项目中，贝叶斯优化和差分进化负责在代理模型上寻找全局候选区域，Powell 则只对少量候选方案调用正式仿真进行局部精调。每次评价前先执行准直条件、机械间距、透镜有效孔径、光纤位置和参数边界检查；不满足硬约束的方案直接剔除，不用惩罚项掩盖不可制造性。</w:t>
      </w:r>
    </w:p>
    <w:p w14:paraId="30CF9F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Powell 输出的候选结果必须回到正式物理计算链复核，复核内容包括光线追迹状态、复场传播质量、模式耦合效率、系统总效率以及能量闭合指标。只有在物理计算收敛且约束满足时，候选结果才进入结果库，形成“代理筛选—正式精调—独立复核”的闭环。</w:t>
      </w:r>
    </w:p>
    <w:p w14:paraId="2818379D">
      <w:pPr>
        <w:pStyle w:val="3"/>
        <w:pageBreakBefore w:val="0"/>
        <w:widowControl w:val="0"/>
        <w:kinsoku/>
        <w:wordWrap/>
        <w:overflowPunct/>
        <w:topLinePunct w:val="0"/>
        <w:autoSpaceDE/>
        <w:autoSpaceDN/>
        <w:bidi w:val="0"/>
        <w:adjustRightInd/>
        <w:snapToGrid/>
        <w:spacing w:before="249" w:after="249"/>
        <w:ind w:left="0" w:leftChars="0"/>
        <w:textAlignment w:val="auto"/>
      </w:pPr>
      <w:bookmarkStart w:id="36" w:name="_Toc21734"/>
      <w:r>
        <w:rPr>
          <w:rFonts w:hint="eastAsia"/>
        </w:rPr>
        <w:t>3.5 SHAP</w:t>
      </w:r>
      <w:bookmarkEnd w:id="36"/>
    </w:p>
    <w:p w14:paraId="441A4339">
      <w:pPr>
        <w:pStyle w:val="4"/>
        <w:pageBreakBefore w:val="0"/>
        <w:widowControl w:val="0"/>
        <w:kinsoku/>
        <w:wordWrap/>
        <w:overflowPunct/>
        <w:topLinePunct w:val="0"/>
        <w:autoSpaceDE/>
        <w:autoSpaceDN/>
        <w:bidi w:val="0"/>
        <w:adjustRightInd/>
        <w:snapToGrid/>
        <w:spacing w:before="156" w:after="156"/>
        <w:ind w:left="0" w:leftChars="0"/>
        <w:textAlignment w:val="auto"/>
      </w:pPr>
      <w:bookmarkStart w:id="37" w:name="_Toc11632"/>
      <w:r>
        <w:rPr>
          <w:rFonts w:hint="eastAsia"/>
        </w:rPr>
        <w:t>3.5.1 SHAP原理</w:t>
      </w:r>
      <w:bookmarkEnd w:id="37"/>
    </w:p>
    <w:p w14:paraId="3E91BC98">
      <w:pPr>
        <w:pageBreakBefore w:val="0"/>
        <w:widowControl w:val="0"/>
        <w:kinsoku/>
        <w:wordWrap/>
        <w:overflowPunct/>
        <w:topLinePunct w:val="0"/>
        <w:autoSpaceDE/>
        <w:autoSpaceDN/>
        <w:bidi w:val="0"/>
        <w:adjustRightInd/>
        <w:snapToGrid/>
        <w:ind w:left="0" w:leftChars="0" w:firstLine="480" w:firstLineChars="200"/>
        <w:textAlignment w:val="auto"/>
      </w:pPr>
      <w:r>
        <w:t>SHAP（SHapley Additive exPlanations）将一个模型的预测结果分解为基准输出与各输入特征贡献之和，可写为</w:t>
      </w:r>
      <w:r>
        <w:rPr>
          <w:position w:val="-28"/>
        </w:rPr>
        <w:object>
          <v:shape id="_x0000_i1046" o:spt="75" type="#_x0000_t75" style="height:27pt;width:85pt;" o:ole="t" filled="f" o:preferrelative="t" stroked="f" coordsize="21600,21600">
            <v:path/>
            <v:fill on="f" focussize="0,0"/>
            <v:stroke on="f" joinstyle="miter"/>
            <v:imagedata r:id="rId65" o:title=""/>
            <o:lock v:ext="edit" aspectratio="t"/>
            <w10:wrap type="none"/>
            <w10:anchorlock/>
          </v:shape>
          <o:OLEObject Type="Embed" ProgID="Equation.DSMT4" ShapeID="_x0000_i1046" DrawAspect="Content" ObjectID="_1468075747" r:id="rId64">
            <o:LockedField>false</o:LockedField>
          </o:OLEObject>
        </w:object>
      </w:r>
      <w:r>
        <w:t>。</w:t>
      </w:r>
      <w:r>
        <w:rPr>
          <w:position w:val="-12"/>
        </w:rPr>
        <w:object>
          <v:shape id="_x0000_i1047" o:spt="75" type="#_x0000_t75" style="height:18pt;width:13pt;" o:ole="t" filled="f" o:preferrelative="t" stroked="f" coordsize="21600,21600">
            <v:path/>
            <v:fill on="f" focussize="0,0"/>
            <v:stroke on="f" joinstyle="miter"/>
            <v:imagedata r:id="rId67" o:title=""/>
            <o:lock v:ext="edit" aspectratio="t"/>
            <w10:wrap type="none"/>
            <w10:anchorlock/>
          </v:shape>
          <o:OLEObject Type="Embed" ProgID="Equation.DSMT4" ShapeID="_x0000_i1047" DrawAspect="Content" ObjectID="_1468075748" r:id="rId66">
            <o:LockedField>false</o:LockedField>
          </o:OLEObject>
        </w:object>
      </w:r>
      <w:r>
        <w:t xml:space="preserve">表示第 </w:t>
      </w:r>
      <w:r>
        <w:rPr>
          <w:position w:val="-6"/>
        </w:rPr>
        <w:object>
          <v:shape id="_x0000_i1048" o:spt="75" type="#_x0000_t75" style="height:13pt;width:6.95pt;" o:ole="t" filled="f" o:preferrelative="t" stroked="f" coordsize="21600,21600">
            <v:path/>
            <v:fill on="f" focussize="0,0"/>
            <v:stroke on="f" joinstyle="miter"/>
            <v:imagedata r:id="rId69" o:title=""/>
            <o:lock v:ext="edit" aspectratio="t"/>
            <w10:wrap type="none"/>
            <w10:anchorlock/>
          </v:shape>
          <o:OLEObject Type="Embed" ProgID="Equation.DSMT4" ShapeID="_x0000_i1048" DrawAspect="Content" ObjectID="_1468075749" r:id="rId68">
            <o:LockedField>false</o:LockedField>
          </o:OLEObject>
        </w:object>
      </w:r>
      <w:r>
        <w:t xml:space="preserve"> 个参数在当前样本上的边际贡献，正值代表提高预测效率或降低损耗，负值代表相反作用。</w:t>
      </w:r>
    </w:p>
    <w:p w14:paraId="77FCF9B8">
      <w:pPr>
        <w:pageBreakBefore w:val="0"/>
        <w:widowControl w:val="0"/>
        <w:kinsoku/>
        <w:wordWrap/>
        <w:overflowPunct/>
        <w:topLinePunct w:val="0"/>
        <w:autoSpaceDE/>
        <w:autoSpaceDN/>
        <w:bidi w:val="0"/>
        <w:adjustRightInd/>
        <w:snapToGrid/>
        <w:ind w:left="0" w:leftChars="0" w:firstLine="480" w:firstLineChars="200"/>
        <w:textAlignment w:val="auto"/>
      </w:pPr>
      <w:r>
        <w:t>与直接读取树模型特征重要性相比，SHAP 同时提供全局和局部解释。全局分析可以统计一批样本中曲率、厚度等参数的平均影响；局部分析可以说明某一个候选方案为什么得到当前预测值，以及某个参数改变后结果向哪个方向变化。</w:t>
      </w:r>
      <w:r>
        <w:rPr>
          <w:rFonts w:hint="eastAsia"/>
        </w:rPr>
        <w:t>输出结果如图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rPr>
        <w:t>所示。</w:t>
      </w:r>
    </w:p>
    <w:p w14:paraId="3F04F444">
      <w:pPr>
        <w:pageBreakBefore w:val="0"/>
        <w:widowControl w:val="0"/>
        <w:kinsoku/>
        <w:wordWrap/>
        <w:overflowPunct/>
        <w:topLinePunct w:val="0"/>
        <w:autoSpaceDE/>
        <w:autoSpaceDN/>
        <w:bidi w:val="0"/>
        <w:adjustRightInd/>
        <w:snapToGrid/>
        <w:ind w:left="0" w:leftChars="0" w:firstLine="480" w:firstLineChars="200"/>
        <w:textAlignment w:val="auto"/>
      </w:pPr>
      <w:r>
        <w:t>SHAP 结果本身描述的是模型输出贡献，不等同于因果证明。因此，平台将 SHAP 作为参数定位和研究假设生成工具，</w:t>
      </w:r>
      <w:r>
        <w:rPr>
          <w:rFonts w:hint="eastAsia"/>
        </w:rPr>
        <w:t>结合物理公式，</w:t>
      </w:r>
      <w:r>
        <w:t>帮助用户分析高贡献度因素所反映的物理规律</w:t>
      </w:r>
      <w:r>
        <w:rPr>
          <w:rFonts w:hint="eastAsia"/>
        </w:rPr>
        <w:t>。</w:t>
      </w:r>
      <w:r>
        <w:drawing>
          <wp:inline distT="0" distB="0" distL="0" distR="0">
            <wp:extent cx="5940425" cy="3698875"/>
            <wp:effectExtent l="0" t="0" r="3175" b="0"/>
            <wp:docPr id="14194246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604" name="图片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940425" cy="3698875"/>
                    </a:xfrm>
                    <a:prstGeom prst="rect">
                      <a:avLst/>
                    </a:prstGeom>
                    <a:noFill/>
                    <a:ln>
                      <a:noFill/>
                    </a:ln>
                  </pic:spPr>
                </pic:pic>
              </a:graphicData>
            </a:graphic>
          </wp:inline>
        </w:drawing>
      </w:r>
    </w:p>
    <w:p w14:paraId="3C1BA840">
      <w:pPr>
        <w:pStyle w:val="9"/>
        <w:pageBreakBefore w:val="0"/>
        <w:widowControl w:val="0"/>
        <w:kinsoku/>
        <w:wordWrap/>
        <w:overflowPunct/>
        <w:topLinePunct w:val="0"/>
        <w:autoSpaceDE/>
        <w:autoSpaceDN/>
        <w:bidi w:val="0"/>
        <w:adjustRightInd/>
        <w:snapToGrid/>
        <w:ind w:left="0" w:leftChars="0"/>
        <w:jc w:val="center"/>
        <w:textAlignment w:val="auto"/>
        <w:rPr>
          <w:rFonts w:hint="eastAsia" w:ascii="宋体" w:hAnsi="宋体"/>
          <w:color w:val="000000"/>
          <w:sz w:val="21"/>
          <w:szCs w:val="21"/>
        </w:rPr>
      </w:pPr>
      <w:r>
        <w:rPr>
          <w:rFonts w:hint="eastAsia" w:ascii="宋体" w:hAnsi="宋体" w:cs="宋体"/>
          <w:sz w:val="21"/>
          <w:szCs w:val="21"/>
        </w:rPr>
        <w:t>图</w:t>
      </w:r>
      <w:r>
        <w:rPr>
          <w:rFonts w:hint="eastAsia" w:ascii="宋体" w:hAnsi="宋体" w:cs="宋体"/>
          <w:sz w:val="21"/>
          <w:szCs w:val="21"/>
          <w:lang w:val="en-US" w:eastAsia="zh-CN"/>
        </w:rPr>
        <w:t>3</w:t>
      </w:r>
      <w:r>
        <w:rPr>
          <w:rFonts w:hint="eastAsia" w:ascii="宋体" w:hAnsi="宋体" w:cs="宋体"/>
          <w:sz w:val="21"/>
          <w:szCs w:val="21"/>
        </w:rPr>
        <w:t>-</w:t>
      </w:r>
      <w:r>
        <w:rPr>
          <w:rFonts w:hint="eastAsia" w:ascii="宋体" w:hAnsi="宋体" w:cs="宋体"/>
          <w:sz w:val="21"/>
          <w:szCs w:val="21"/>
          <w:lang w:val="en-US" w:eastAsia="zh-CN"/>
        </w:rPr>
        <w:t>7</w:t>
      </w:r>
      <w:r>
        <w:rPr>
          <w:rFonts w:hint="eastAsia" w:ascii="宋体" w:hAnsi="宋体" w:cs="宋体"/>
          <w:sz w:val="21"/>
          <w:szCs w:val="21"/>
        </w:rPr>
        <w:t xml:space="preserve"> SHAP全局贡献重要性排名</w:t>
      </w:r>
    </w:p>
    <w:p w14:paraId="008C5FC1">
      <w:pPr>
        <w:pStyle w:val="2"/>
        <w:widowControl/>
        <w:spacing w:before="312" w:after="312"/>
      </w:pPr>
      <w:bookmarkStart w:id="38" w:name="_Toc10945"/>
      <w:r>
        <w:t>4</w:t>
      </w:r>
      <w:r>
        <w:rPr>
          <w:rFonts w:hint="eastAsia" w:cs="黑体"/>
        </w:rPr>
        <w:t>仿真平台开发</w:t>
      </w:r>
      <w:bookmarkEnd w:id="38"/>
    </w:p>
    <w:p w14:paraId="1973FAF6">
      <w:pPr>
        <w:pStyle w:val="3"/>
        <w:rPr>
          <w:rFonts w:eastAsia="黑体" w:cs="Times New Roman"/>
          <w:b/>
          <w:color w:val="000000"/>
          <w:sz w:val="30"/>
          <w:szCs w:val="30"/>
        </w:rPr>
      </w:pPr>
      <w:r>
        <w:t xml:space="preserve">4.1 设计目标与总体思路</w:t>
      </w:r>
    </w:p>
    <w:p w14:paraId="71AED01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本平台面向激光</w:t>
      </w:r>
      <w:r>
        <w:rPr>
          <w:rFonts w:cs="Times New Roman"/>
          <w:color w:val="000000"/>
        </w:rPr>
        <w:t xml:space="preserve">—</w:t>
      </w:r>
      <w:r>
        <w:rPr>
          <w:rFonts w:ascii="宋体" w:hAnsi="宋体" w:cs="Times New Roman"/>
          <w:color w:val="000000"/>
        </w:rPr>
        <w:t xml:space="preserve">透镜组</w:t>
      </w:r>
      <w:r>
        <w:rPr>
          <w:rFonts w:cs="Times New Roman"/>
          <w:color w:val="000000"/>
        </w:rPr>
        <w:t xml:space="preserve">—</w:t>
      </w:r>
      <w:r>
        <w:rPr>
          <w:rFonts w:ascii="宋体" w:hAnsi="宋体" w:cs="Times New Roman"/>
          <w:color w:val="000000"/>
        </w:rPr>
        <w:t xml:space="preserve">单模光纤耦合链路，构建集教学演示、参数研究与智能优化于一体的仿真平台。其设计重点不在于计算某一组耦合效率，而在于回答三个问题：哪些可调参数会改变入射光场的尺寸、位置、相位和波前；这些变化如何影响端面复场与光纤模式的匹配程度；不同参数对耦合效率的影响规律与调整方向为何。平台据此建立了</w:t>
      </w:r>
      <w:r>
        <w:rPr>
          <w:rFonts w:cs="Times New Roman"/>
          <w:color w:val="000000"/>
        </w:rPr>
        <w:t xml:space="preserve">“</w:t>
      </w:r>
      <w:r>
        <w:rPr>
          <w:rFonts w:ascii="宋体" w:hAnsi="宋体" w:cs="Times New Roman"/>
          <w:color w:val="000000"/>
        </w:rPr>
        <w:t xml:space="preserve">教学理解</w:t>
      </w:r>
      <w:r>
        <w:rPr>
          <w:rFonts w:cs="Times New Roman"/>
          <w:color w:val="000000"/>
        </w:rPr>
        <w:t xml:space="preserve">—</w:t>
      </w:r>
      <w:r>
        <w:rPr>
          <w:rFonts w:ascii="宋体" w:hAnsi="宋体" w:cs="Times New Roman"/>
          <w:color w:val="000000"/>
        </w:rPr>
        <w:t xml:space="preserve">正式仿真</w:t>
      </w:r>
      <w:r>
        <w:rPr>
          <w:rFonts w:cs="Times New Roman"/>
          <w:color w:val="000000"/>
        </w:rPr>
        <w:t xml:space="preserve">—</w:t>
      </w:r>
      <w:r>
        <w:rPr>
          <w:rFonts w:ascii="宋体" w:hAnsi="宋体" w:cs="Times New Roman"/>
          <w:color w:val="000000"/>
        </w:rPr>
        <w:t xml:space="preserve">参数研究</w:t>
      </w:r>
      <w:r>
        <w:rPr>
          <w:rFonts w:cs="Times New Roman"/>
          <w:color w:val="000000"/>
        </w:rPr>
        <w:t xml:space="preserve">—</w:t>
      </w:r>
      <w:r>
        <w:rPr>
          <w:rFonts w:ascii="宋体" w:hAnsi="宋体" w:cs="Times New Roman"/>
          <w:color w:val="000000"/>
        </w:rPr>
        <w:t xml:space="preserve">智能优化</w:t>
      </w:r>
      <w:r>
        <w:rPr>
          <w:rFonts w:cs="Times New Roman"/>
          <w:color w:val="000000"/>
        </w:rPr>
        <w:t xml:space="preserve">—</w:t>
      </w:r>
      <w:r>
        <w:rPr>
          <w:rFonts w:ascii="宋体" w:hAnsi="宋体" w:cs="Times New Roman"/>
          <w:color w:val="000000"/>
        </w:rPr>
        <w:t xml:space="preserve">结果解释</w:t>
      </w:r>
      <w:r>
        <w:rPr>
          <w:rFonts w:cs="Times New Roman"/>
          <w:color w:val="000000"/>
        </w:rPr>
        <w:t xml:space="preserve">”</w:t>
      </w:r>
      <w:r>
        <w:rPr>
          <w:rFonts w:ascii="宋体" w:hAnsi="宋体" w:cs="Times New Roman"/>
          <w:color w:val="000000"/>
        </w:rPr>
        <w:t xml:space="preserve">的闭环工作流程，平台设计流程及模块关系如图</w:t>
      </w:r>
      <w:r>
        <w:rPr>
          <w:rFonts w:cs="Times New Roman"/>
          <w:color w:val="000000"/>
        </w:rPr>
        <w:t xml:space="preserve">4-1</w:t>
      </w:r>
      <w:r>
        <w:rPr>
          <w:rFonts w:ascii="宋体" w:hAnsi="宋体" w:cs="Times New Roman"/>
          <w:color w:val="000000"/>
        </w:rPr>
        <w:t xml:space="preserve">所示。</w:t>
      </w:r>
    </w:p>
    <w:p w14:paraId="59FEBFBF">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平台的设计遵循以下原则：一是以复场重叠为核心判据，同时处理振幅与相位信息，而不只比较几何光斑是否重合，因此能够区分</w:t>
      </w:r>
      <w:r>
        <w:rPr>
          <w:rFonts w:cs="Times New Roman"/>
          <w:color w:val="000000"/>
        </w:rPr>
        <w:t xml:space="preserve">“</w:t>
      </w:r>
      <w:r>
        <w:rPr>
          <w:rFonts w:ascii="宋体" w:hAnsi="宋体" w:cs="Times New Roman"/>
          <w:color w:val="000000"/>
        </w:rPr>
        <w:t xml:space="preserve">光斑尺寸接近但相位曲率或波前倾斜不匹配</w:t>
      </w:r>
      <w:r>
        <w:rPr>
          <w:rFonts w:cs="Times New Roman"/>
          <w:color w:val="000000"/>
        </w:rPr>
        <w:t xml:space="preserve">”</w:t>
      </w:r>
      <w:r>
        <w:rPr>
          <w:rFonts w:ascii="宋体" w:hAnsi="宋体" w:cs="Times New Roman"/>
          <w:color w:val="000000"/>
        </w:rPr>
        <w:t xml:space="preserve">的情形；二是教学近似与正式计算分层使用，教学模块中的结果只用于建立直观认识与趋势检查，最终结论以仿真模块的正式复场计算结果为准。</w:t>
      </w:r>
    </w:p>
    <w:p w14:paraId="3A00B65A">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三是保留真实的物理联动而不人为锁定变量，例如轴向移动光纤会同时改变端面束径与波前曲率，调节扩束镜会同时改变束径与发散角；平台保留这些联动，以避免得到脱离装调实际的</w:t>
      </w:r>
      <w:r>
        <w:rPr>
          <w:rFonts w:cs="Times New Roman"/>
          <w:color w:val="000000"/>
        </w:rPr>
        <w:t xml:space="preserve">“</w:t>
      </w:r>
      <w:r>
        <w:rPr>
          <w:rFonts w:ascii="宋体" w:hAnsi="宋体" w:cs="Times New Roman"/>
          <w:color w:val="000000"/>
        </w:rPr>
        <w:t xml:space="preserve">理想单变量</w:t>
      </w:r>
      <w:r>
        <w:rPr>
          <w:rFonts w:cs="Times New Roman"/>
          <w:color w:val="000000"/>
        </w:rPr>
        <w:t xml:space="preserve">”</w:t>
      </w:r>
      <w:r>
        <w:rPr>
          <w:rFonts w:ascii="宋体" w:hAnsi="宋体" w:cs="Times New Roman"/>
          <w:color w:val="000000"/>
        </w:rPr>
        <w:t xml:space="preserve">结论。四是以可复现研究为目标，工程快照、任务状态、数据集与计算结果在模块之间共享，任一环节的结论都能回溯到其对应的参数与计算任务。</w:t>
      </w:r>
    </w:p>
    <w:p w14:paraId="5F02CB76">
      <w:pPr>
        <w:pStyle w:val="26"/>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5276850" cy="1089025"/>
            <wp:effectExtent l="0" t="0" r="0" b="1587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71"/>
                    <a:srcRect b="12723"/>
                    <a:stretch>
                      <a:fillRect/>
                    </a:stretch>
                  </pic:blipFill>
                  <pic:spPr>
                    <a:xfrm>
                      <a:off x="0" y="0"/>
                      <a:ext cx="5276850" cy="1089025"/>
                    </a:xfrm>
                    <a:prstGeom prst="rect">
                      <a:avLst/>
                    </a:prstGeom>
                    <a:noFill/>
                    <a:ln>
                      <a:noFill/>
                    </a:ln>
                  </pic:spPr>
                </pic:pic>
              </a:graphicData>
            </a:graphic>
          </wp:inline>
        </w:drawing>
      </w:r>
      <w:r>
        <w:rPr>
          <w:rFonts w:hint="eastAsia" w:ascii="宋体" w:hAnsi="宋体" w:cs="Times New Roman"/>
          <w:lang w:bidi="ar"/>
        </w:rPr>
        <w:t xml:space="preserve"> </w:t>
      </w:r>
    </w:p>
    <w:p w14:paraId="04D9D0CF">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b w:val="0"/>
          <w:bCs/>
          <w:sz w:val="21"/>
          <w:szCs w:val="21"/>
        </w:rPr>
      </w:pPr>
      <w:r>
        <w:rPr>
          <w:rFonts w:hint="eastAsia"/>
          <w:b w:val="0"/>
          <w:bCs/>
          <w:sz w:val="21"/>
          <w:szCs w:val="21"/>
        </w:rPr>
        <w:t>图</w:t>
      </w:r>
      <w:r>
        <w:rPr>
          <w:rFonts w:hint="default" w:ascii="Times New Roman" w:hAnsi="Times New Roman" w:cs="Times New Roman"/>
          <w:b w:val="0"/>
          <w:bCs/>
          <w:sz w:val="21"/>
          <w:szCs w:val="21"/>
          <w:lang w:val="en-US" w:eastAsia="zh-CN"/>
        </w:rPr>
        <w:t>4-1</w:t>
      </w:r>
      <w:r>
        <w:rPr>
          <w:rFonts w:hint="default" w:ascii="Times New Roman" w:hAnsi="Times New Roman" w:cs="Times New Roman"/>
          <w:b w:val="0"/>
          <w:bCs/>
          <w:sz w:val="21"/>
          <w:szCs w:val="21"/>
        </w:rPr>
        <w:t xml:space="preserve"> </w:t>
      </w:r>
      <w:r>
        <w:rPr>
          <w:rFonts w:hint="eastAsia"/>
          <w:b w:val="0"/>
          <w:bCs/>
          <w:sz w:val="21"/>
          <w:szCs w:val="21"/>
        </w:rPr>
        <w:t>仿真平台设计流程及模块关系</w:t>
      </w:r>
    </w:p>
    <w:p w14:paraId="7B6847F7">
      <w:pPr>
        <w:pStyle w:val="3"/>
        <w:bidi w:val="0"/>
        <w:rPr>
          <w:rFonts w:ascii="Calibri" w:hAnsi="Calibri" w:eastAsia="MS Gothic" w:cs="Times New Roman"/>
          <w:b/>
          <w:bCs/>
          <w:color w:val="000000"/>
          <w:kern w:val="0"/>
          <w:sz w:val="28"/>
          <w:szCs w:val="28"/>
        </w:rPr>
      </w:pPr>
      <w:r>
        <w:t xml:space="preserve">4.2 软件总体架构与数据流设计</w:t>
      </w:r>
    </w:p>
    <w:p w14:paraId="66998BDA">
      <w:pPr>
        <w:pStyle w:val="4"/>
        <w:bidi w:val="0"/>
        <w:rPr>
          <w:rFonts w:eastAsia="黑体" w:cs="Times New Roman"/>
          <w:b/>
          <w:color w:val="000000"/>
          <w:sz w:val="28"/>
          <w:szCs w:val="28"/>
        </w:rPr>
      </w:pPr>
      <w:r>
        <w:t xml:space="preserve">4.2.1 模块分层与数据流</w:t>
      </w:r>
    </w:p>
    <w:p w14:paraId="0FA71261">
      <w:pPr>
        <w:keepNext w:val="0"/>
        <w:keepLines w:val="0"/>
        <w:pageBreakBefore w:val="0"/>
        <w:widowControl w:val="0"/>
        <w:kinsoku/>
        <w:wordWrap/>
        <w:overflowPunct/>
        <w:topLinePunct w:val="0"/>
        <w:autoSpaceDE/>
        <w:autoSpaceDN/>
        <w:bidi w:val="0"/>
        <w:adjustRightInd/>
        <w:snapToGrid/>
        <w:ind w:left="120" w:leftChars="50" w:firstLine="420" w:firstLineChars="200"/>
        <w:textAlignment w:val="auto"/>
        <w:rPr>
          <w:rFonts w:eastAsia="FandolSong" w:cs="Times New Roman"/>
          <w:color w:val="auto"/>
          <w:kern w:val="0"/>
          <w:sz w:val="21"/>
          <w:szCs w:val="21"/>
        </w:rPr>
      </w:pPr>
      <w:r>
        <w:rPr>
          <w:rFonts w:ascii="宋体" w:hAnsi="宋体" w:cs="Times New Roman"/>
          <w:color w:val="000000"/>
        </w:rPr>
        <w:t xml:space="preserve">为构建更完善的用户界面和增强系统扩展性，我们在物理核心之上搭建分层架构：</w:t>
      </w:r>
      <w:r>
        <w:rPr>
          <w:rFonts w:cs="Times New Roman"/>
          <w:color w:val="000000"/>
        </w:rPr>
        <w:t xml:space="preserve"> request_compiler.py </w:t>
      </w:r>
      <w:r>
        <w:rPr>
          <w:rFonts w:ascii="宋体" w:hAnsi="宋体" w:cs="Times New Roman"/>
          <w:color w:val="000000"/>
        </w:rPr>
        <w:t xml:space="preserve">编译仿真场景、</w:t>
      </w:r>
      <w:r>
        <w:rPr>
          <w:rFonts w:cs="Times New Roman"/>
          <w:color w:val="000000"/>
        </w:rPr>
        <w:t xml:space="preserve">engine.py </w:t>
      </w:r>
      <w:r>
        <w:rPr>
          <w:rFonts w:ascii="宋体" w:hAnsi="宋体" w:cs="Times New Roman"/>
          <w:color w:val="000000"/>
        </w:rPr>
        <w:t xml:space="preserve">按任务图调度流水线、</w:t>
      </w:r>
      <w:r>
        <w:rPr>
          <w:rFonts w:cs="Times New Roman"/>
          <w:color w:val="000000"/>
        </w:rPr>
        <w:t xml:space="preserve">hybrid_search.py </w:t>
      </w:r>
      <w:r>
        <w:rPr>
          <w:rFonts w:ascii="宋体" w:hAnsi="宋体" w:cs="Times New Roman"/>
          <w:color w:val="000000"/>
        </w:rPr>
        <w:t xml:space="preserve">实现代理模型辅助的混合优化，前端基于</w:t>
      </w:r>
      <w:r>
        <w:rPr>
          <w:rFonts w:cs="Times New Roman"/>
          <w:color w:val="000000"/>
        </w:rPr>
        <w:t xml:space="preserve">PySide6 </w:t>
      </w:r>
      <w:r>
        <w:rPr>
          <w:rFonts w:ascii="宋体" w:hAnsi="宋体" w:cs="Times New Roman"/>
          <w:color w:val="000000"/>
        </w:rPr>
        <w:t xml:space="preserve">开发交互式界面，实现光学系统编辑、参数扫描、智能分析与任务管理。开发过程中采用模块化设计思想，确保各模块既独立又可协同；系统完成后进行了试用并对不足进行修复完善。平台总体结构如图</w:t>
      </w:r>
      <w:r>
        <w:rPr>
          <w:rFonts w:cs="Times New Roman"/>
          <w:color w:val="000000"/>
        </w:rPr>
        <w:t xml:space="preserve">4-2</w:t>
      </w:r>
      <w:r>
        <w:rPr>
          <w:rFonts w:ascii="宋体" w:hAnsi="宋体" w:cs="Times New Roman"/>
          <w:color w:val="000000"/>
        </w:rPr>
        <w:t xml:space="preserve">所示。</w:t>
      </w:r>
    </w:p>
    <w:p w14:paraId="38AB6F44">
      <w:pPr>
        <w:pStyle w:val="26"/>
        <w:keepNext/>
        <w:pageBreakBefore w:val="0"/>
        <w:widowControl/>
        <w:kinsoku/>
        <w:wordWrap/>
        <w:overflowPunct/>
        <w:topLinePunct w:val="0"/>
        <w:autoSpaceDE/>
        <w:autoSpaceDN/>
        <w:bidi w:val="0"/>
        <w:adjustRightInd/>
        <w:snapToGrid/>
        <w:spacing w:before="40" w:after="40" w:line="302" w:lineRule="auto"/>
        <w:ind w:left="0" w:leftChars="0" w:firstLine="420" w:firstLineChars="200"/>
        <w:jc w:val="center"/>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4572000" cy="30861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74"/>
                    <a:stretch>
                      <a:fillRect/>
                    </a:stretch>
                  </pic:blipFill>
                  <pic:spPr>
                    <a:xfrm>
                      <a:off x="0" y="0"/>
                      <a:ext cx="4572000" cy="3086100"/>
                    </a:xfrm>
                    <a:prstGeom prst="rect">
                      <a:avLst/>
                    </a:prstGeom>
                    <a:noFill/>
                    <a:ln>
                      <a:noFill/>
                    </a:ln>
                  </pic:spPr>
                </pic:pic>
              </a:graphicData>
            </a:graphic>
          </wp:inline>
        </w:drawing>
      </w:r>
      <w:r>
        <w:rPr>
          <w:rFonts w:eastAsia="FandolSong" w:cs="Times New Roman"/>
          <w:kern w:val="0"/>
          <w:sz w:val="21"/>
          <w:szCs w:val="21"/>
          <w:lang w:bidi="ar"/>
        </w:rPr>
        <w:t xml:space="preserve"> </w:t>
      </w:r>
    </w:p>
    <w:p w14:paraId="3101F053">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4-2 </w:t>
      </w:r>
      <w:r>
        <w:rPr>
          <w:rFonts w:ascii="宋体" w:hAnsi="宋体" w:cs="Times New Roman"/>
          <w:color w:val="000000"/>
        </w:rPr>
        <w:t xml:space="preserve">平台总体结构与模块分层</w:t>
      </w:r>
    </w:p>
    <w:p w14:paraId="097B834B">
      <w:pPr>
        <w:pStyle w:val="4"/>
        <w:bidi w:val="0"/>
        <w:rPr>
          <w:rFonts w:eastAsia="黑体" w:cs="Times New Roman"/>
          <w:b/>
          <w:color w:val="000000"/>
          <w:sz w:val="28"/>
          <w:szCs w:val="28"/>
        </w:rPr>
      </w:pPr>
      <w:r>
        <w:t xml:space="preserve">4.2.2 平台总体架构</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平台采用前端交互、后端服务、物理仿真、智能分析和教学建模协同的分层架构。前端负责工程编辑、任务提交和结果可视化；后端负责任务队列、状态管理和结果持久化；物理仿真层完成光线追迹、复场传播和模式重叠；智能分析层提供数据集、代理模型、优化和</w:t>
      </w:r>
      <w:r>
        <w:rPr>
          <w:rFonts w:cs="Times New Roman"/>
          <w:lang w:bidi="ar"/>
        </w:rPr>
        <w:t xml:space="preserve"> SHAP</w:t>
      </w:r>
      <w:r>
        <w:rPr>
          <w:rFonts w:hint="eastAsia" w:ascii="宋体" w:hAnsi="宋体" w:cs="Times New Roman"/>
          <w:lang w:bidi="ar"/>
        </w:rPr>
        <w:t>；教学建模层提供器材拖拽、场景演示和同步到正式仿真的入口。</w:t>
      </w:r>
    </w:p>
    <w:p w14:paraId="0DAE3C78">
      <w:pPr>
        <w:pStyle w:val="26"/>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247775"/>
            <wp:effectExtent l="0" t="0" r="9525"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75"/>
                    <a:stretch>
                      <a:fillRect/>
                    </a:stretch>
                  </pic:blipFill>
                  <pic:spPr>
                    <a:xfrm>
                      <a:off x="0" y="0"/>
                      <a:ext cx="5705475" cy="1247775"/>
                    </a:xfrm>
                    <a:prstGeom prst="rect">
                      <a:avLst/>
                    </a:prstGeom>
                    <a:noFill/>
                    <a:ln>
                      <a:noFill/>
                    </a:ln>
                  </pic:spPr>
                </pic:pic>
              </a:graphicData>
            </a:graphic>
          </wp:inline>
        </w:drawing>
      </w:r>
      <w:r>
        <w:rPr>
          <w:rFonts w:cs="Times New Roman"/>
          <w:lang w:bidi="ar"/>
        </w:rPr>
        <w:t xml:space="preserve"> </w:t>
      </w:r>
    </w:p>
    <w:p w14:paraId="30CBE31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4-3 </w:t>
      </w:r>
      <w:r>
        <w:rPr>
          <w:rFonts w:ascii="宋体" w:hAnsi="宋体" w:cs="Times New Roman"/>
          <w:color w:val="000000"/>
        </w:rPr>
        <w:t xml:space="preserve">平台总体架构</w:t>
      </w:r>
    </w:p>
    <w:p w14:paraId="66998BDA">
      <w:pPr>
        <w:pStyle w:val="4"/>
        <w:bidi w:val="0"/>
        <w:rPr>
          <w:rFonts w:eastAsia="黑体" w:cs="Times New Roman"/>
          <w:b/>
          <w:color w:val="000000"/>
          <w:sz w:val="28"/>
          <w:szCs w:val="28"/>
        </w:rPr>
      </w:pPr>
      <w:r>
        <w:t xml:space="preserve">4.2.3 共享状态与可追溯机制</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的工程快照、任务状态、数据集、活动模型和计算结果以共享对象的形式在模块之间传递。教学模块保存的场景可以写入当前工程；仿真模块产出的正式结果与工程快照绑定，记录其参数版本与计算精度；模型模块生成的数据集登记采样方式与样本清单；优化模块的候选方案写回工程后，由平台自动发起一次正式仿真复核。任一环节产生的参数、结果和状态都可回溯到对应的计算任务，便于重复计算和实验前检查。</w:t>
      </w:r>
    </w:p>
    <w:p w14:paraId="3E1536C7">
      <w:pPr>
        <w:pStyle w:val="3"/>
        <w:bidi w:val="0"/>
        <w:rPr>
          <w:rFonts w:ascii="Calibri" w:hAnsi="Calibri" w:eastAsia="MS Gothic" w:cs="Times New Roman"/>
          <w:b/>
          <w:bCs/>
          <w:color w:val="000000"/>
          <w:kern w:val="0"/>
          <w:sz w:val="28"/>
          <w:szCs w:val="28"/>
        </w:rPr>
      </w:pPr>
      <w:r>
        <w:t xml:space="preserve">4.3 计算实现与程序开发</w:t>
      </w:r>
    </w:p>
    <w:p w14:paraId="7B6847F7">
      <w:pPr>
        <w:pStyle w:val="4"/>
        <w:bidi w:val="0"/>
        <w:rPr>
          <w:rFonts w:ascii="Calibri" w:hAnsi="Calibri" w:eastAsia="MS Gothic" w:cs="Times New Roman"/>
          <w:b/>
          <w:bCs/>
          <w:color w:val="000000"/>
          <w:kern w:val="0"/>
          <w:sz w:val="28"/>
          <w:szCs w:val="28"/>
        </w:rPr>
      </w:pPr>
      <w:r>
        <w:t xml:space="preserve">4.3.1 程序开发流程</w:t>
      </w:r>
    </w:p>
    <w:p w14:paraId="72882A97">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ascii="宋体" w:hAnsi="宋体" w:cs="Times New Roman"/>
          <w:color w:val="000000"/>
        </w:rPr>
        <w:t xml:space="preserve">程序开发流程基于仿真设计、</w:t>
      </w:r>
      <w:r>
        <w:rPr>
          <w:rFonts w:cs="Times New Roman"/>
          <w:color w:val="000000"/>
        </w:rPr>
        <w:t xml:space="preserve">Visual Studio Code </w:t>
      </w:r>
      <w:r>
        <w:rPr>
          <w:rFonts w:ascii="宋体" w:hAnsi="宋体" w:cs="Times New Roman"/>
          <w:color w:val="000000"/>
        </w:rPr>
        <w:t xml:space="preserve">代码编写、通过</w:t>
      </w:r>
      <w:r>
        <w:rPr>
          <w:rFonts w:cs="Times New Roman"/>
          <w:color w:val="000000"/>
        </w:rPr>
        <w:t xml:space="preserve">Python </w:t>
      </w:r>
      <w:r>
        <w:rPr>
          <w:rFonts w:ascii="宋体" w:hAnsi="宋体" w:cs="Times New Roman"/>
          <w:color w:val="000000"/>
        </w:rPr>
        <w:t xml:space="preserve">编写</w:t>
      </w:r>
      <w:r>
        <w:rPr>
          <w:rFonts w:cs="Times New Roman"/>
          <w:color w:val="000000"/>
        </w:rPr>
        <w:t xml:space="preserve">FastAPI </w:t>
      </w:r>
      <w:r>
        <w:rPr>
          <w:rFonts w:ascii="宋体" w:hAnsi="宋体" w:cs="Times New Roman"/>
          <w:color w:val="000000"/>
        </w:rPr>
        <w:t xml:space="preserve">后端、</w:t>
      </w:r>
      <w:r>
        <w:rPr>
          <w:rFonts w:cs="Times New Roman"/>
          <w:color w:val="000000"/>
        </w:rPr>
        <w:t xml:space="preserve">PySide6 </w:t>
      </w:r>
      <w:r>
        <w:rPr>
          <w:rFonts w:ascii="宋体" w:hAnsi="宋体" w:cs="Times New Roman"/>
          <w:color w:val="000000"/>
        </w:rPr>
        <w:t xml:space="preserve">前端及仿真引擎，通过</w:t>
      </w:r>
      <w:r>
        <w:rPr>
          <w:rFonts w:cs="Times New Roman"/>
          <w:color w:val="000000"/>
        </w:rPr>
        <w:t xml:space="preserve">Zemax </w:t>
      </w:r>
      <w:r>
        <w:rPr>
          <w:rFonts w:ascii="宋体" w:hAnsi="宋体" w:cs="Times New Roman"/>
          <w:color w:val="000000"/>
        </w:rPr>
        <w:t xml:space="preserve">进行验证仿真，通过</w:t>
      </w:r>
      <w:r>
        <w:rPr>
          <w:rFonts w:cs="Times New Roman"/>
          <w:color w:val="000000"/>
        </w:rPr>
        <w:t xml:space="preserve">GitHub </w:t>
      </w:r>
      <w:r>
        <w:rPr>
          <w:rFonts w:ascii="宋体" w:hAnsi="宋体" w:cs="Times New Roman"/>
          <w:color w:val="000000"/>
        </w:rPr>
        <w:t xml:space="preserve">仓库来协作代码管理。程序开发流程如图</w:t>
      </w:r>
      <w:r>
        <w:rPr>
          <w:rFonts w:cs="Times New Roman"/>
          <w:color w:val="000000"/>
        </w:rPr>
        <w:t xml:space="preserve">4-4</w:t>
      </w:r>
      <w:r>
        <w:rPr>
          <w:rFonts w:ascii="宋体" w:hAnsi="宋体" w:cs="Times New Roman"/>
          <w:color w:val="000000"/>
        </w:rPr>
        <w:t xml:space="preserve">所示。</w:t>
      </w:r>
    </w:p>
    <w:p w14:paraId="2DA620CF">
      <w:pPr>
        <w:pStyle w:val="26"/>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095875" cy="3800475"/>
            <wp:effectExtent l="0" t="0" r="9525" b="952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72"/>
                    <a:stretch>
                      <a:fillRect/>
                    </a:stretch>
                  </pic:blipFill>
                  <pic:spPr>
                    <a:xfrm>
                      <a:off x="0" y="0"/>
                      <a:ext cx="5095875" cy="3800475"/>
                    </a:xfrm>
                    <a:prstGeom prst="rect">
                      <a:avLst/>
                    </a:prstGeom>
                    <a:noFill/>
                    <a:ln>
                      <a:noFill/>
                    </a:ln>
                  </pic:spPr>
                </pic:pic>
              </a:graphicData>
            </a:graphic>
          </wp:inline>
        </w:drawing>
      </w:r>
      <w:r>
        <w:rPr>
          <w:rFonts w:eastAsia="FandolSong" w:cs="Times New Roman"/>
          <w:kern w:val="0"/>
          <w:sz w:val="21"/>
          <w:szCs w:val="21"/>
          <w:lang w:bidi="ar"/>
        </w:rPr>
        <w:t xml:space="preserve"> </w:t>
      </w:r>
    </w:p>
    <w:p w14:paraId="4684487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4-4 </w:t>
      </w:r>
      <w:r>
        <w:rPr>
          <w:rFonts w:ascii="宋体" w:hAnsi="宋体" w:cs="Times New Roman"/>
          <w:color w:val="000000"/>
        </w:rPr>
        <w:t xml:space="preserve">程序开发流程与验证环节</w:t>
      </w:r>
    </w:p>
    <w:p w14:paraId="66998BDA">
      <w:pPr>
        <w:pStyle w:val="4"/>
        <w:bidi w:val="0"/>
        <w:rPr>
          <w:rFonts w:eastAsia="黑体" w:cs="Times New Roman"/>
          <w:b/>
          <w:color w:val="000000"/>
          <w:sz w:val="28"/>
          <w:szCs w:val="28"/>
        </w:rPr>
      </w:pPr>
      <w:r>
        <w:t xml:space="preserve">4.3.2 核心计算脚本</w:t>
      </w:r>
    </w:p>
    <w:p w14:paraId="4C538060">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eastAsia="FandolSong" w:cs="Times New Roman"/>
          <w:color w:val="auto"/>
          <w:kern w:val="0"/>
          <w:sz w:val="21"/>
          <w:szCs w:val="21"/>
        </w:rPr>
      </w:pPr>
      <w:r>
        <w:rPr>
          <w:rFonts w:ascii="宋体" w:hAnsi="宋体" w:cs="Times New Roman"/>
          <w:color w:val="000000"/>
        </w:rPr>
        <w:t xml:space="preserve">本系统针对激光</w:t>
      </w:r>
      <w:r>
        <w:rPr>
          <w:rFonts w:cs="Times New Roman"/>
          <w:color w:val="000000"/>
        </w:rPr>
        <w:t xml:space="preserve">—</w:t>
      </w:r>
      <w:r>
        <w:rPr>
          <w:rFonts w:ascii="宋体" w:hAnsi="宋体" w:cs="Times New Roman"/>
          <w:color w:val="000000"/>
        </w:rPr>
        <w:t xml:space="preserve">透镜组</w:t>
      </w:r>
      <w:r>
        <w:rPr>
          <w:rFonts w:cs="Times New Roman"/>
          <w:color w:val="000000"/>
        </w:rPr>
        <w:t xml:space="preserve">—</w:t>
      </w:r>
      <w:r>
        <w:rPr>
          <w:rFonts w:ascii="宋体" w:hAnsi="宋体" w:cs="Times New Roman"/>
          <w:color w:val="000000"/>
        </w:rPr>
        <w:t xml:space="preserve">单模光纤耦合的失配问题，建立了一系列近轴光学与波动光学传播模型。研究初期，我们基于</w:t>
      </w:r>
      <w:r>
        <w:rPr>
          <w:rFonts w:cs="Times New Roman"/>
          <w:color w:val="000000"/>
        </w:rPr>
        <w:t xml:space="preserve">Python </w:t>
      </w:r>
      <w:r>
        <w:rPr>
          <w:rFonts w:ascii="宋体" w:hAnsi="宋体" w:cs="Times New Roman"/>
          <w:color w:val="000000"/>
        </w:rPr>
        <w:t xml:space="preserve">平台开发了包括</w:t>
      </w:r>
      <w:r>
        <w:rPr>
          <w:rFonts w:cs="Times New Roman"/>
          <w:color w:val="000000"/>
        </w:rPr>
        <w:t xml:space="preserve">paraxial.py</w:t>
      </w:r>
      <w:r>
        <w:rPr>
          <w:rFonts w:ascii="宋体" w:hAnsi="宋体" w:cs="Times New Roman"/>
          <w:color w:val="000000"/>
        </w:rPr>
        <w:t xml:space="preserve">（高斯光束传输）、</w:t>
      </w:r>
      <w:r>
        <w:rPr>
          <w:rFonts w:cs="Times New Roman"/>
          <w:color w:val="000000"/>
        </w:rPr>
        <w:t xml:space="preserve">snell.py</w:t>
      </w:r>
      <w:r>
        <w:rPr>
          <w:rFonts w:ascii="宋体" w:hAnsi="宋体" w:cs="Times New Roman"/>
          <w:color w:val="000000"/>
        </w:rPr>
        <w:t xml:space="preserve">（光线追迹）、</w:t>
      </w:r>
      <w:r>
        <w:rPr>
          <w:rFonts w:cs="Times New Roman"/>
          <w:color w:val="000000"/>
        </w:rPr>
        <w:t xml:space="preserve">hybrid_pipeline.py</w:t>
      </w:r>
      <w:r>
        <w:rPr>
          <w:rFonts w:ascii="宋体" w:hAnsi="宋体" w:cs="Times New Roman"/>
          <w:color w:val="000000"/>
        </w:rPr>
        <w:t xml:space="preserve">（波动场传播）等核心文件，完整描述了光束在透镜组中经折射、衍射到达光纤端面的全过程，涵盖束腰演化、波前曲率、模场失配等关键因素。采用复场重叠积分实现高精度耦合效率求解，完成初步参数敏感性分析和结果可视化，通过改变单一变量对束腰半径、透镜曲率、空气间隔、光纤轴向位置等主要因素进行仿真分析及图像展示。部分核心计算脚本如图</w:t>
      </w:r>
      <w:r>
        <w:rPr>
          <w:rFonts w:cs="Times New Roman"/>
          <w:color w:val="000000"/>
        </w:rPr>
        <w:t xml:space="preserve">4-5</w:t>
      </w:r>
      <w:r>
        <w:rPr>
          <w:rFonts w:ascii="宋体" w:hAnsi="宋体" w:cs="Times New Roman"/>
          <w:color w:val="000000"/>
        </w:rPr>
        <w:t xml:space="preserve">所示。</w:t>
      </w:r>
    </w:p>
    <w:p w14:paraId="716F62ED">
      <w:pPr>
        <w:pStyle w:val="26"/>
        <w:pageBreakBefore w:val="0"/>
        <w:widowControl/>
        <w:kinsoku/>
        <w:wordWrap/>
        <w:overflowPunct/>
        <w:topLinePunct w:val="0"/>
        <w:autoSpaceDE/>
        <w:autoSpaceDN/>
        <w:bidi w:val="0"/>
        <w:adjustRightInd/>
        <w:snapToGrid/>
        <w:spacing w:line="302" w:lineRule="auto"/>
        <w:ind w:left="0" w:leftChars="0" w:firstLine="0" w:firstLineChars="0"/>
        <w:jc w:val="both"/>
        <w:textAlignment w:val="auto"/>
        <w:rPr>
          <w:rFonts w:eastAsia="FandolSong" w:cs="Times New Roman"/>
          <w:color w:val="auto"/>
          <w:kern w:val="0"/>
          <w:sz w:val="21"/>
          <w:szCs w:val="21"/>
        </w:rPr>
      </w:pPr>
      <w:r>
        <w:rPr>
          <w:rFonts w:eastAsia="FandolSong" w:cs="Times New Roman"/>
          <w:kern w:val="0"/>
          <w:sz w:val="21"/>
          <w:szCs w:val="21"/>
          <w:lang w:bidi="ar"/>
        </w:rPr>
        <w:drawing>
          <wp:inline distT="0" distB="0" distL="114300" distR="114300">
            <wp:extent cx="5648325" cy="2828925"/>
            <wp:effectExtent l="0" t="0" r="9525" b="952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5648325" cy="2828925"/>
                    </a:xfrm>
                    <a:prstGeom prst="rect">
                      <a:avLst/>
                    </a:prstGeom>
                    <a:noFill/>
                    <a:ln>
                      <a:noFill/>
                    </a:ln>
                  </pic:spPr>
                </pic:pic>
              </a:graphicData>
            </a:graphic>
          </wp:inline>
        </w:drawing>
      </w:r>
      <w:r>
        <w:rPr>
          <w:rFonts w:eastAsia="FandolSong" w:cs="Times New Roman"/>
          <w:kern w:val="0"/>
          <w:sz w:val="21"/>
          <w:szCs w:val="21"/>
          <w:lang w:bidi="ar"/>
        </w:rPr>
        <w:t xml:space="preserve"> </w:t>
      </w:r>
    </w:p>
    <w:p w14:paraId="73AF194E">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4-5 </w:t>
      </w:r>
      <w:r>
        <w:rPr>
          <w:rFonts w:ascii="宋体" w:hAnsi="宋体" w:cs="Times New Roman"/>
          <w:color w:val="000000"/>
        </w:rPr>
        <w:t xml:space="preserve">核心计算脚本及其对应功能</w:t>
      </w:r>
    </w:p>
    <w:p w14:paraId="68CDA453">
      <w:pPr>
        <w:pStyle w:val="4"/>
        <w:bidi w:val="0"/>
        <w:rPr>
          <w:rFonts w:eastAsia="黑体" w:cs="Times New Roman"/>
          <w:b/>
          <w:color w:val="000000"/>
          <w:sz w:val="30"/>
          <w:szCs w:val="30"/>
        </w:rPr>
      </w:pPr>
      <w:r>
        <w:t xml:space="preserve">4.3.3 器材建模</w:t>
      </w:r>
    </w:p>
    <w:p w14:paraId="60657F4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器材建模以真实器材的外形尺寸、光学口径和连接关系为依据。使用</w:t>
      </w:r>
      <w:r>
        <w:rPr>
          <w:rFonts w:cs="Times New Roman"/>
          <w:lang w:bidi="ar"/>
        </w:rPr>
        <w:t xml:space="preserve"> Blender </w:t>
      </w:r>
      <w:r>
        <w:rPr>
          <w:rFonts w:hint="eastAsia" w:ascii="宋体" w:hAnsi="宋体" w:cs="Times New Roman"/>
          <w:lang w:bidi="ar"/>
        </w:rPr>
        <w:t>完成激光器、透镜、光纤、探测器及辅助结构的几何建模，统一材质、颜色和坐标方向后装配为教学场景，再导出平台可加载的资源。建模资源与工程参数分离管理，既保证界面中的器材具有直观外观，也保证正式仿真仍从参数快照读取曲率、厚度、材料、位置和姿态。</w:t>
      </w:r>
    </w:p>
    <w:p w14:paraId="6786054F">
      <w:pPr>
        <w:pStyle w:val="26"/>
        <w:pageBreakBefore w:val="0"/>
        <w:kinsoku/>
        <w:wordWrap/>
        <w:overflowPunct/>
        <w:topLinePunct w:val="0"/>
        <w:autoSpaceDE/>
        <w:autoSpaceDN/>
        <w:bidi w:val="0"/>
        <w:adjustRightInd/>
        <w:snapToGrid/>
        <w:ind w:left="0" w:leftChars="0" w:firstLine="482" w:firstLineChars="200"/>
        <w:textAlignment w:val="auto"/>
        <w:rPr>
          <w:rFonts w:hint="eastAsia" w:cs="Times New Roman"/>
          <w:b w:val="0"/>
          <w:bCs/>
          <w:sz w:val="21"/>
          <w:szCs w:val="21"/>
        </w:rPr>
      </w:pPr>
      <w:r>
        <w:rPr>
          <w:rFonts w:cs="Times New Roman"/>
          <w:lang w:bidi="ar"/>
        </w:rPr>
        <w:drawing>
          <wp:inline distT="0" distB="0" distL="114300" distR="114300">
            <wp:extent cx="5705475" cy="1057275"/>
            <wp:effectExtent l="0" t="0" r="9525" b="952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76"/>
                    <a:stretch>
                      <a:fillRect/>
                    </a:stretch>
                  </pic:blipFill>
                  <pic:spPr>
                    <a:xfrm>
                      <a:off x="0" y="0"/>
                      <a:ext cx="5705475" cy="1057275"/>
                    </a:xfrm>
                    <a:prstGeom prst="rect">
                      <a:avLst/>
                    </a:prstGeom>
                    <a:noFill/>
                    <a:ln>
                      <a:noFill/>
                    </a:ln>
                  </pic:spPr>
                </pic:pic>
              </a:graphicData>
            </a:graphic>
          </wp:inline>
        </w:drawing>
      </w:r>
      <w:r>
        <w:rPr>
          <w:rFonts w:hint="eastAsia" w:cs="Times New Roman"/>
          <w:b w:val="0"/>
          <w:bCs/>
          <w:sz w:val="21"/>
          <w:szCs w:val="21"/>
        </w:rPr>
        <w:t xml:space="preserve"> </w:t>
      </w:r>
    </w:p>
    <w:p w14:paraId="7D1B9C7A">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6</w:t>
      </w:r>
      <w:r>
        <w:rPr>
          <w:rFonts w:hint="default" w:ascii="Times New Roman" w:hAnsi="Times New Roman" w:cs="Times New Roman"/>
          <w:b w:val="0"/>
          <w:bCs/>
          <w:sz w:val="21"/>
          <w:szCs w:val="21"/>
        </w:rPr>
        <w:t xml:space="preserve"> </w:t>
      </w:r>
      <w:r>
        <w:rPr>
          <w:rFonts w:hint="eastAsia" w:cs="Times New Roman"/>
          <w:b w:val="0"/>
          <w:bCs/>
          <w:sz w:val="21"/>
          <w:szCs w:val="21"/>
        </w:rPr>
        <w:t>Blender 器材建模流程</w:t>
      </w:r>
    </w:p>
    <w:p w14:paraId="2CBA06BD">
      <w:pPr>
        <w:pStyle w:val="3"/>
        <w:bidi w:val="0"/>
        <w:rPr>
          <w:rFonts w:eastAsia="黑体" w:cs="Times New Roman"/>
          <w:b/>
          <w:color w:val="000000"/>
          <w:sz w:val="30"/>
          <w:szCs w:val="30"/>
        </w:rPr>
      </w:pPr>
      <w:r>
        <w:t xml:space="preserve">4.4 UI 界面设计</w:t>
      </w:r>
    </w:p>
    <w:p w14:paraId="4D2BCD8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cs="Times New Roman"/>
          <w:lang w:bidi="ar"/>
        </w:rPr>
        <w:t xml:space="preserve">UI </w:t>
      </w:r>
      <w:r>
        <w:rPr>
          <w:rFonts w:hint="eastAsia" w:ascii="宋体" w:hAnsi="宋体" w:cs="Times New Roman"/>
          <w:lang w:bidi="ar"/>
        </w:rPr>
        <w:t>采用首页工作流加模块化工作台的组织方式。首页以教学、仿真、模型、优化和解释五个功能区呈现研究路径；进入模块后，使用者可以在同一工作区完成参数编辑、任务提交、结果切换和方案回写，减少跨页面操作造成的状态丢失。</w:t>
      </w:r>
    </w:p>
    <w:p w14:paraId="0C8BF068">
      <w:pPr>
        <w:pStyle w:val="14"/>
        <w:keepNext w:val="0"/>
        <w:keepLines w:val="0"/>
        <w:pageBreakBefore w:val="0"/>
        <w:widowControl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66998BDA">
      <w:pPr>
        <w:pStyle w:val="4"/>
        <w:bidi w:val="0"/>
        <w:rPr>
          <w:rFonts w:eastAsia="黑体" w:cs="Times New Roman"/>
          <w:b/>
          <w:color w:val="000000"/>
          <w:sz w:val="28"/>
          <w:szCs w:val="28"/>
        </w:rPr>
      </w:pPr>
      <w:r>
        <w:rPr>
          <w:rFonts w:eastAsia="黑体" w:cs="Times New Roman"/>
          <w:b/>
          <w:sz w:val="28"/>
          <w:szCs w:val="28"/>
          <w:lang w:bidi="ar"/>
        </w:rPr>
        <w:t xml:space="preserve">4.4.1 UI </w:t>
      </w:r>
      <w:r>
        <w:rPr>
          <w:rFonts w:hint="eastAsia" w:ascii="黑体" w:hAnsi="宋体" w:eastAsia="黑体" w:cs="Times New Roman"/>
          <w:b/>
          <w:sz w:val="28"/>
          <w:szCs w:val="28"/>
          <w:lang w:bidi="ar"/>
        </w:rPr>
        <w:t>界面设计</w:t>
      </w:r>
    </w:p>
    <w:p w14:paraId="6F32CF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界面设计强调功能分区清晰、状态反馈明确和结果优先。教学界面提供器材库、画布、视角和计算入口；仿真界面按光路、光斑、耦合和波前组织结果；模型、优化和解释界面分别突出训练指标、候选方案和特征贡献。所有正式任务均显示运行状态和完成标记，避免用户误读空白图或加载中的中间状态。</w:t>
      </w:r>
    </w:p>
    <w:p w14:paraId="5780C573">
      <w:pPr>
        <w:pStyle w:val="26"/>
        <w:pageBreakBefore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2000250"/>
            <wp:effectExtent l="0" t="0" r="9525" b="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77"/>
                    <a:stretch>
                      <a:fillRect/>
                    </a:stretch>
                  </pic:blipFill>
                  <pic:spPr>
                    <a:xfrm>
                      <a:off x="0" y="0"/>
                      <a:ext cx="5705475" cy="2000250"/>
                    </a:xfrm>
                    <a:prstGeom prst="rect">
                      <a:avLst/>
                    </a:prstGeom>
                    <a:noFill/>
                    <a:ln>
                      <a:noFill/>
                    </a:ln>
                  </pic:spPr>
                </pic:pic>
              </a:graphicData>
            </a:graphic>
          </wp:inline>
        </w:drawing>
      </w:r>
      <w:r>
        <w:rPr>
          <w:rFonts w:cs="Times New Roman"/>
          <w:lang w:bidi="ar"/>
        </w:rPr>
        <w:t xml:space="preserve"> </w:t>
      </w:r>
    </w:p>
    <w:p w14:paraId="3F8E19AB">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7</w:t>
      </w:r>
      <w:r>
        <w:rPr>
          <w:rFonts w:hint="default" w:ascii="Times New Roman" w:hAnsi="Times New Roman" w:cs="Times New Roman"/>
          <w:b w:val="0"/>
          <w:bCs/>
          <w:sz w:val="21"/>
          <w:szCs w:val="21"/>
        </w:rPr>
        <w:t xml:space="preserve"> </w:t>
      </w:r>
      <w:r>
        <w:rPr>
          <w:rFonts w:hint="eastAsia" w:cs="Times New Roman"/>
          <w:b w:val="0"/>
          <w:bCs/>
          <w:sz w:val="21"/>
          <w:szCs w:val="21"/>
        </w:rPr>
        <w:t xml:space="preserve">平台 </w:t>
      </w:r>
      <w:r>
        <w:rPr>
          <w:rFonts w:hint="default" w:ascii="Times New Roman" w:hAnsi="Times New Roman" w:cs="Times New Roman"/>
          <w:b w:val="0"/>
          <w:bCs/>
          <w:sz w:val="21"/>
          <w:szCs w:val="21"/>
        </w:rPr>
        <w:t xml:space="preserve">UI </w:t>
      </w:r>
      <w:r>
        <w:rPr>
          <w:rFonts w:hint="eastAsia" w:cs="Times New Roman"/>
          <w:b w:val="0"/>
          <w:bCs/>
          <w:sz w:val="21"/>
          <w:szCs w:val="21"/>
        </w:rPr>
        <w:t>界面设计</w:t>
      </w:r>
    </w:p>
    <w:p w14:paraId="4442B2EA">
      <w:pPr>
        <w:pStyle w:val="4"/>
        <w:bidi w:val="0"/>
        <w:rPr>
          <w:rFonts w:eastAsia="黑体" w:cs="Times New Roman"/>
          <w:b/>
          <w:color w:val="000000"/>
          <w:sz w:val="28"/>
          <w:szCs w:val="28"/>
        </w:rPr>
      </w:pPr>
      <w:r>
        <w:rPr>
          <w:rFonts w:eastAsia="黑体" w:cs="Times New Roman"/>
          <w:b/>
          <w:sz w:val="28"/>
          <w:szCs w:val="28"/>
          <w:lang w:bidi="ar"/>
        </w:rPr>
        <w:t xml:space="preserve">4.4.2 </w:t>
      </w:r>
      <w:r>
        <w:rPr>
          <w:rFonts w:hint="eastAsia" w:ascii="黑体" w:hAnsi="宋体" w:eastAsia="黑体" w:cs="Times New Roman"/>
          <w:b/>
          <w:sz w:val="28"/>
          <w:szCs w:val="28"/>
          <w:lang w:bidi="ar"/>
        </w:rPr>
        <w:t>迭代历史</w:t>
      </w:r>
    </w:p>
    <w:p w14:paraId="434394B6">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hint="eastAsia" w:ascii="宋体" w:hAnsi="宋体" w:cs="Times New Roman"/>
          <w:lang w:bidi="ar"/>
        </w:rPr>
        <w:t>界面迭代从原型验证开始，逐步加入工程快照、任务状态、正式结果、智能分析和交付封装。每次迭代都围绕</w:t>
      </w:r>
      <w:r>
        <w:rPr>
          <w:rFonts w:cs="Times New Roman"/>
          <w:lang w:bidi="ar"/>
        </w:rPr>
        <w:t>“</w:t>
      </w:r>
      <w:r>
        <w:rPr>
          <w:rFonts w:hint="eastAsia" w:ascii="宋体" w:hAnsi="宋体" w:cs="Times New Roman"/>
          <w:lang w:bidi="ar"/>
        </w:rPr>
        <w:t>能否完成任务、能否解释结果、能否复现计算</w:t>
      </w:r>
      <w:r>
        <w:rPr>
          <w:rFonts w:cs="Times New Roman"/>
          <w:lang w:bidi="ar"/>
        </w:rPr>
        <w:t>”</w:t>
      </w:r>
      <w:r>
        <w:rPr>
          <w:rFonts w:hint="eastAsia" w:ascii="宋体" w:hAnsi="宋体" w:cs="Times New Roman"/>
          <w:lang w:bidi="ar"/>
        </w:rPr>
        <w:t>进行验收，并通过统一的工程对象和结果文档保持模块之间的一致性。</w:t>
      </w:r>
    </w:p>
    <w:p w14:paraId="5FB63649">
      <w:pPr>
        <w:pStyle w:val="26"/>
        <w:pageBreakBefore w:val="0"/>
        <w:widowControl w:val="0"/>
        <w:kinsoku/>
        <w:wordWrap/>
        <w:overflowPunct/>
        <w:topLinePunct w:val="0"/>
        <w:autoSpaceDE/>
        <w:autoSpaceDN/>
        <w:bidi w:val="0"/>
        <w:adjustRightInd/>
        <w:snapToGrid/>
        <w:ind w:left="0" w:leftChars="0" w:firstLine="480" w:firstLineChars="200"/>
        <w:jc w:val="center"/>
        <w:textAlignment w:val="auto"/>
        <w:rPr>
          <w:rFonts w:cs="Times New Roman"/>
          <w:color w:val="000000"/>
        </w:rPr>
      </w:pPr>
      <w:r>
        <w:rPr>
          <w:rFonts w:cs="Times New Roman"/>
          <w:lang w:bidi="ar"/>
        </w:rPr>
        <w:drawing>
          <wp:inline distT="0" distB="0" distL="114300" distR="114300">
            <wp:extent cx="5705475" cy="1457325"/>
            <wp:effectExtent l="0" t="0" r="9525" b="952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78"/>
                    <a:stretch>
                      <a:fillRect/>
                    </a:stretch>
                  </pic:blipFill>
                  <pic:spPr>
                    <a:xfrm>
                      <a:off x="0" y="0"/>
                      <a:ext cx="5705475" cy="1457325"/>
                    </a:xfrm>
                    <a:prstGeom prst="rect">
                      <a:avLst/>
                    </a:prstGeom>
                    <a:noFill/>
                    <a:ln>
                      <a:noFill/>
                    </a:ln>
                  </pic:spPr>
                </pic:pic>
              </a:graphicData>
            </a:graphic>
          </wp:inline>
        </w:drawing>
      </w:r>
      <w:r>
        <w:rPr>
          <w:rFonts w:cs="Times New Roman"/>
          <w:lang w:bidi="ar"/>
        </w:rPr>
        <w:t xml:space="preserve"> </w:t>
      </w:r>
    </w:p>
    <w:p w14:paraId="74730B2D">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4-</w:t>
      </w:r>
      <w:r>
        <w:rPr>
          <w:rFonts w:hint="default" w:ascii="Times New Roman" w:hAnsi="Times New Roman" w:cs="Times New Roman"/>
          <w:b w:val="0"/>
          <w:bCs/>
          <w:sz w:val="21"/>
          <w:szCs w:val="21"/>
          <w:lang w:val="en-US" w:eastAsia="zh-CN"/>
        </w:rPr>
        <w:t>8</w:t>
      </w:r>
      <w:r>
        <w:rPr>
          <w:rFonts w:hint="default" w:ascii="Times New Roman" w:hAnsi="Times New Roman" w:cs="Times New Roman"/>
          <w:b w:val="0"/>
          <w:bCs/>
          <w:sz w:val="21"/>
          <w:szCs w:val="21"/>
        </w:rPr>
        <w:t xml:space="preserve"> UI </w:t>
      </w:r>
      <w:r>
        <w:rPr>
          <w:rFonts w:hint="eastAsia" w:cs="Times New Roman"/>
          <w:b w:val="0"/>
          <w:bCs/>
          <w:sz w:val="21"/>
          <w:szCs w:val="21"/>
        </w:rPr>
        <w:t>界面迭代历史</w:t>
      </w:r>
    </w:p>
    <w:p w14:paraId="601EE48E">
      <w:pPr>
        <w:pStyle w:val="3"/>
        <w:bidi w:val="0"/>
        <w:rPr>
          <w:rFonts w:eastAsia="黑体" w:cs="Times New Roman"/>
          <w:b/>
          <w:color w:val="000000"/>
          <w:sz w:val="30"/>
          <w:szCs w:val="30"/>
        </w:rPr>
      </w:pPr>
      <w:r>
        <w:t xml:space="preserve">4.5 程序封装与部署</w:t>
      </w:r>
    </w:p>
    <w:p w14:paraId="6426E5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图</w:t>
      </w:r>
      <w:r>
        <w:rPr>
          <w:rFonts w:hint="eastAsia"/>
          <w:lang w:val="en-US" w:eastAsia="zh-CN"/>
        </w:rPr>
        <w:t>4-9</w:t>
      </w:r>
      <w:r>
        <w:rPr>
          <w:rFonts w:hint="eastAsia"/>
        </w:rPr>
        <w:t>为将仿真系统封装成可独立运行的“.exe” 安装程序的过程。本系统由PySide6 图形界面与FastAPI 后端服务组成，首先确保前后端程序在Python 开发环境中联调运行无误。考虑到目标用户无需安装Python 环境，将后端服务以内嵌方式集成：打包入口 launcher.py 在程序启动时自动创建后端线程，通过轮询健康检查接口确认后端就绪后再加载图形界面，实现单进程内前后端一体化运行。随后，使用PyInstaller 库对打包入口文件launcher.py 进行配置，采用单目录（onedir）模式将Python 解释器及其全部依赖库（包括PySide6、Torch、FastAPI 等第三方库）一并封装进执行文件，并在配置文件中通过collect_all 与hiddenimports 参数补齐隐藏依赖、以datas 参数纳入前端资源文件与光学材料数据库。打包参数在OpticalSystem.spec 配置文件中集中声明，同时针对特定运行库冲突（如ICU 库版本遮蔽问题）在配置阶段进行过滤处理，确保封装后的程序在不同机器上均可正常加载。完成后，执行打包过程生成“.exe” 文件。</w:t>
      </w:r>
    </w:p>
    <w:p w14:paraId="59D5FFC1">
      <w:pPr>
        <w:pStyle w:val="26"/>
        <w:pageBreakBefore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drawing>
          <wp:inline distT="0" distB="0" distL="114300" distR="114300">
            <wp:extent cx="5762625" cy="3686175"/>
            <wp:effectExtent l="0" t="0" r="9525" b="9525"/>
            <wp:docPr id="3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pic:cNvPicPr>
                      <a:picLocks noChangeAspect="1"/>
                    </pic:cNvPicPr>
                  </pic:nvPicPr>
                  <pic:blipFill>
                    <a:blip r:embed="rId79"/>
                    <a:stretch>
                      <a:fillRect/>
                    </a:stretch>
                  </pic:blipFill>
                  <pic:spPr>
                    <a:xfrm>
                      <a:off x="0" y="0"/>
                      <a:ext cx="5762625" cy="3686175"/>
                    </a:xfrm>
                    <a:prstGeom prst="rect">
                      <a:avLst/>
                    </a:prstGeom>
                    <a:noFill/>
                    <a:ln>
                      <a:noFill/>
                    </a:ln>
                  </pic:spPr>
                </pic:pic>
              </a:graphicData>
            </a:graphic>
          </wp:inline>
        </w:drawing>
      </w:r>
    </w:p>
    <w:p w14:paraId="58BEA63C">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ascii="宋体" w:hAnsi="宋体" w:cs="Times New Roman"/>
          <w:color w:val="000000"/>
        </w:rPr>
        <w:t xml:space="preserve">图</w:t>
      </w:r>
      <w:r>
        <w:rPr>
          <w:rFonts w:cs="Times New Roman"/>
          <w:color w:val="000000"/>
        </w:rPr>
        <w:t xml:space="preserve">4-9 </w:t>
      </w:r>
      <w:r>
        <w:rPr>
          <w:rFonts w:ascii="宋体" w:hAnsi="宋体" w:cs="Times New Roman"/>
          <w:color w:val="000000"/>
        </w:rPr>
        <w:t xml:space="preserve">软件封装流程：从开发环境到可执行程序</w:t>
      </w:r>
    </w:p>
    <w:p w14:paraId="1C244770">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162175" cy="876300"/>
            <wp:effectExtent l="0" t="0" r="9525" b="0"/>
            <wp:docPr id="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9"/>
                    <pic:cNvPicPr>
                      <a:picLocks noChangeAspect="1"/>
                    </pic:cNvPicPr>
                  </pic:nvPicPr>
                  <pic:blipFill>
                    <a:blip r:embed="rId80"/>
                    <a:stretch>
                      <a:fillRect/>
                    </a:stretch>
                  </pic:blipFill>
                  <pic:spPr>
                    <a:xfrm>
                      <a:off x="0" y="0"/>
                      <a:ext cx="2162175" cy="876300"/>
                    </a:xfrm>
                    <a:prstGeom prst="rect">
                      <a:avLst/>
                    </a:prstGeom>
                    <a:noFill/>
                    <a:ln>
                      <a:noFill/>
                    </a:ln>
                  </pic:spPr>
                </pic:pic>
              </a:graphicData>
            </a:graphic>
          </wp:inline>
        </w:drawing>
      </w:r>
      <w:r>
        <w:rPr>
          <w:rFonts w:hint="eastAsia" w:ascii="宋体" w:hAnsi="宋体" w:cs="Times New Roman"/>
          <w:lang w:bidi="ar"/>
        </w:rPr>
        <w:t xml:space="preserve"> </w:t>
      </w:r>
    </w:p>
    <w:p w14:paraId="1675493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4-10</w:t>
      </w:r>
      <w:r>
        <w:rPr>
          <w:rFonts w:hint="default" w:ascii="Times New Roman" w:hAnsi="Times New Roman" w:cs="Times New Roman"/>
          <w:b w:val="0"/>
          <w:bCs/>
          <w:sz w:val="21"/>
          <w:szCs w:val="21"/>
        </w:rPr>
        <w:t xml:space="preserve"> </w:t>
      </w:r>
      <w:r>
        <w:rPr>
          <w:rFonts w:hint="eastAsia" w:cs="Times New Roman"/>
          <w:b w:val="0"/>
          <w:bCs/>
          <w:sz w:val="21"/>
          <w:szCs w:val="21"/>
        </w:rPr>
        <w:t>打包输出文件及其用途</w:t>
      </w:r>
    </w:p>
    <w:p w14:paraId="5208A36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执行打包完成后生成的输出文件主要包括三部分，如图</w:t>
      </w:r>
      <w:r>
        <w:rPr>
          <w:rFonts w:cs="Times New Roman"/>
          <w:color w:val="000000"/>
        </w:rPr>
        <w:t xml:space="preserve">4-10</w:t>
      </w:r>
      <w:r>
        <w:rPr>
          <w:rFonts w:ascii="宋体" w:hAnsi="宋体" w:cs="Times New Roman"/>
          <w:color w:val="000000"/>
        </w:rPr>
        <w:t xml:space="preserve">所示，其中</w:t>
      </w:r>
      <w:r>
        <w:rPr>
          <w:rFonts w:cs="Times New Roman"/>
          <w:color w:val="000000"/>
        </w:rPr>
        <w:t xml:space="preserve">dist </w:t>
      </w:r>
      <w:r>
        <w:rPr>
          <w:rFonts w:ascii="宋体" w:hAnsi="宋体" w:cs="Times New Roman"/>
          <w:color w:val="000000"/>
        </w:rPr>
        <w:t xml:space="preserve">文件夹包含最终分发的应用程序文件，它是以</w:t>
      </w:r>
      <w:r>
        <w:rPr>
          <w:rFonts w:cs="Times New Roman"/>
          <w:color w:val="000000"/>
        </w:rPr>
        <w:t xml:space="preserve">OpticalSystem.exe </w:t>
      </w:r>
      <w:r>
        <w:rPr>
          <w:rFonts w:ascii="宋体" w:hAnsi="宋体" w:cs="Times New Roman"/>
          <w:color w:val="000000"/>
        </w:rPr>
        <w:t xml:space="preserve">为入口的完整应用程序目录，启动器与全部依赖库均位于其中，直接拷贝该目录即可实现绿色便携运行。</w:t>
      </w:r>
      <w:r>
        <w:rPr>
          <w:rFonts w:cs="Times New Roman"/>
          <w:color w:val="000000"/>
        </w:rPr>
        <w:t xml:space="preserve">build </w:t>
      </w:r>
      <w:r>
        <w:rPr>
          <w:rFonts w:ascii="宋体" w:hAnsi="宋体" w:cs="Times New Roman"/>
          <w:color w:val="000000"/>
        </w:rPr>
        <w:t xml:space="preserve">文件夹包含打包过程中生成的临时文件和中间构建结果，用于调试和分析打包过程。</w:t>
      </w:r>
      <w:r>
        <w:rPr>
          <w:rFonts w:cs="Times New Roman"/>
          <w:color w:val="000000"/>
        </w:rPr>
        <w:t xml:space="preserve"> OpticalSystem.spec </w:t>
      </w:r>
      <w:r>
        <w:rPr>
          <w:rFonts w:ascii="宋体" w:hAnsi="宋体" w:cs="Times New Roman"/>
          <w:color w:val="000000"/>
        </w:rPr>
        <w:t xml:space="preserve">是</w:t>
      </w:r>
      <w:r>
        <w:rPr>
          <w:rFonts w:cs="Times New Roman"/>
          <w:color w:val="000000"/>
        </w:rPr>
        <w:t xml:space="preserve">PyInstaller </w:t>
      </w:r>
      <w:r>
        <w:rPr>
          <w:rFonts w:ascii="宋体" w:hAnsi="宋体" w:cs="Times New Roman"/>
          <w:color w:val="000000"/>
        </w:rPr>
        <w:t xml:space="preserve">的配置文件，记录了本次打包的所有参数设置，可用于重复构建与版本迭代。</w:t>
      </w:r>
    </w:p>
    <w:p w14:paraId="61420391">
      <w:pPr>
        <w:pStyle w:val="26"/>
        <w:pageBreakBefore w:val="0"/>
        <w:kinsoku/>
        <w:wordWrap/>
        <w:overflowPunct/>
        <w:topLinePunct w:val="0"/>
        <w:autoSpaceDE/>
        <w:autoSpaceDN/>
        <w:bidi w:val="0"/>
        <w:adjustRightInd/>
        <w:snapToGrid/>
        <w:ind w:left="0" w:leftChars="0" w:firstLine="480" w:firstLineChars="200"/>
        <w:textAlignment w:val="auto"/>
        <w:rPr>
          <w:rFonts w:hint="eastAsia" w:ascii="宋体" w:hAnsi="宋体" w:cs="Times New Roman"/>
          <w:color w:val="000000"/>
        </w:rPr>
      </w:pPr>
      <w:r>
        <w:rPr>
          <w:rFonts w:hint="eastAsia" w:ascii="宋体" w:hAnsi="宋体" w:cs="Times New Roman"/>
          <w:lang w:bidi="ar"/>
        </w:rPr>
        <w:drawing>
          <wp:inline distT="0" distB="0" distL="114300" distR="114300">
            <wp:extent cx="2085975" cy="314325"/>
            <wp:effectExtent l="0" t="0" r="9525" b="9525"/>
            <wp:docPr id="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8"/>
                    <pic:cNvPicPr>
                      <a:picLocks noChangeAspect="1"/>
                    </pic:cNvPicPr>
                  </pic:nvPicPr>
                  <pic:blipFill>
                    <a:blip r:embed="rId81"/>
                    <a:stretch>
                      <a:fillRect/>
                    </a:stretch>
                  </pic:blipFill>
                  <pic:spPr>
                    <a:xfrm>
                      <a:off x="0" y="0"/>
                      <a:ext cx="2085975" cy="314325"/>
                    </a:xfrm>
                    <a:prstGeom prst="rect">
                      <a:avLst/>
                    </a:prstGeom>
                    <a:noFill/>
                    <a:ln>
                      <a:noFill/>
                    </a:ln>
                  </pic:spPr>
                </pic:pic>
              </a:graphicData>
            </a:graphic>
          </wp:inline>
        </w:drawing>
      </w:r>
      <w:r>
        <w:rPr>
          <w:rFonts w:hint="eastAsia" w:ascii="宋体" w:hAnsi="宋体" w:cs="Times New Roman"/>
          <w:lang w:bidi="ar"/>
        </w:rPr>
        <w:t xml:space="preserve"> </w:t>
      </w:r>
    </w:p>
    <w:p w14:paraId="1E5364AD">
      <w:pPr>
        <w:pStyle w:val="27"/>
        <w:pageBreakBefore w:val="0"/>
        <w:kinsoku/>
        <w:wordWrap/>
        <w:overflowPunct/>
        <w:topLinePunct w:val="0"/>
        <w:autoSpaceDE/>
        <w:autoSpaceDN/>
        <w:bidi w:val="0"/>
        <w:adjustRightInd/>
        <w:snapToGrid/>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ascii="宋体" w:hAnsi="宋体" w:cs="Times New Roman"/>
          <w:color w:val="000000"/>
        </w:rPr>
        <w:t xml:space="preserve">图</w:t>
      </w:r>
      <w:r>
        <w:rPr>
          <w:rFonts w:cs="Times New Roman"/>
          <w:color w:val="000000"/>
        </w:rPr>
        <w:t xml:space="preserve">4-11 </w:t>
      </w:r>
      <w:r>
        <w:rPr>
          <w:rFonts w:ascii="宋体" w:hAnsi="宋体" w:cs="Times New Roman"/>
          <w:color w:val="000000"/>
        </w:rPr>
        <w:t xml:space="preserve">独立安装程序界面</w:t>
      </w:r>
    </w:p>
    <w:p w14:paraId="3E8003B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lang w:val="en-US" w:eastAsia="zh-CN"/>
        </w:rPr>
      </w:pPr>
      <w:r>
        <w:rPr>
          <w:rFonts w:hint="eastAsia"/>
        </w:rPr>
        <w:t>在此基础上，为进一步提升分发体验，采用Inno Setup 工具对dist 目录进行二次封装，生成独立的安装程序OpticalSystem_Setup.exe。安装包内置简体中文安装向导，用户无需任何命令行操作即可完成安装，并自动生成开始菜单与桌面快捷方式，支持标准卸载流程，卸载时自动清理程序运行产生的数据目录。程序安装后首次启动时，启动器自动完成运行环境初始化：设置生产模式参数、解析可用端口（当默认端口被占用时自动回退至空闲端口）、启动内嵌后端服务并通过健康检查、最后加载主界面。无论对于未安装Python 的用户，还是已具备Python 环境的用户，安装后双击快捷方式即可立即进入仿真系统，实现真正的“开箱即用”，无需额外安装任何运行环境，安装程序如图4-11所示，操作流程如图4-12所示。该封装方案确保了系统能够在Windows 上无缝部署和运行，相较于MATLAB 等其他应用封装的软件极大提升了易用性和分发便利性</w:t>
      </w:r>
    </w:p>
    <w:p w14:paraId="6E08D38C">
      <w:pPr>
        <w:pStyle w:val="26"/>
        <w:bidi w:val="0"/>
        <w:rPr>
          <w:rFonts w:hint="eastAsia" w:ascii="宋体" w:hAnsi="宋体" w:cs="Times New Roman"/>
          <w:color w:val="000000"/>
        </w:rPr>
      </w:pPr>
      <w:r>
        <w:rPr>
          <w:rFonts w:hint="eastAsia" w:ascii="宋体" w:hAnsi="宋体" w:cs="Times New Roman"/>
          <w:lang w:bidi="ar"/>
        </w:rPr>
        <w:drawing>
          <wp:inline distT="0" distB="0" distL="114300" distR="114300">
            <wp:extent cx="5762625" cy="2971800"/>
            <wp:effectExtent l="0" t="0" r="9525" b="0"/>
            <wp:docPr id="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7"/>
                    <pic:cNvPicPr>
                      <a:picLocks noChangeAspect="1"/>
                    </pic:cNvPicPr>
                  </pic:nvPicPr>
                  <pic:blipFill>
                    <a:blip r:embed="rId82"/>
                    <a:stretch>
                      <a:fillRect/>
                    </a:stretch>
                  </pic:blipFill>
                  <pic:spPr>
                    <a:xfrm>
                      <a:off x="0" y="0"/>
                      <a:ext cx="5762625" cy="2971800"/>
                    </a:xfrm>
                    <a:prstGeom prst="rect">
                      <a:avLst/>
                    </a:prstGeom>
                    <a:noFill/>
                    <a:ln>
                      <a:noFill/>
                    </a:ln>
                  </pic:spPr>
                </pic:pic>
              </a:graphicData>
            </a:graphic>
          </wp:inline>
        </w:drawing>
      </w:r>
      <w:r>
        <w:rPr>
          <w:rFonts w:hint="eastAsia" w:ascii="宋体" w:hAnsi="宋体" w:cs="Times New Roman"/>
          <w:lang w:bidi="ar"/>
        </w:rPr>
        <w:t xml:space="preserve"> </w:t>
      </w:r>
    </w:p>
    <w:p w14:paraId="1423FE75">
      <w:pPr>
        <w:pStyle w:val="27"/>
        <w:bidi w:val="0"/>
        <w:rPr>
          <w:rFonts w:hint="eastAsia"/>
        </w:rPr>
      </w:pPr>
      <w:r>
        <w:rPr>
          <w:rFonts w:hint="eastAsia" w:cs="Times New Roman"/>
          <w:b w:val="0"/>
          <w:bCs/>
          <w:sz w:val="21"/>
          <w:szCs w:val="21"/>
        </w:rPr>
        <w:t>图</w:t>
      </w:r>
      <w:r>
        <w:rPr>
          <w:rFonts w:hint="default" w:ascii="Times New Roman" w:hAnsi="Times New Roman" w:cs="Times New Roman"/>
          <w:b w:val="0"/>
          <w:bCs/>
          <w:sz w:val="21"/>
          <w:szCs w:val="21"/>
          <w:lang w:val="en-US" w:eastAsia="zh-CN"/>
        </w:rPr>
        <w:t>4-12</w:t>
      </w:r>
      <w:r>
        <w:rPr>
          <w:rFonts w:hint="eastAsia" w:cs="Times New Roman"/>
          <w:b w:val="0"/>
          <w:bCs/>
          <w:sz w:val="21"/>
          <w:szCs w:val="21"/>
        </w:rPr>
        <w:t xml:space="preserve"> 软件安装流程与首次启动过程</w:t>
      </w:r>
    </w:p>
    <w:p w14:paraId="7B6847F7">
      <w:pPr>
        <w:pStyle w:val="3"/>
        <w:bidi w:val="0"/>
        <w:rPr>
          <w:rFonts w:ascii="Calibri" w:hAnsi="Calibri" w:eastAsia="MS Gothic" w:cs="Times New Roman"/>
          <w:b/>
          <w:bCs/>
          <w:color w:val="000000"/>
          <w:kern w:val="0"/>
          <w:sz w:val="28"/>
          <w:szCs w:val="28"/>
        </w:rPr>
      </w:pPr>
      <w:r>
        <w:t xml:space="preserve">4.6 电脑要求及配置</w:t>
      </w:r>
    </w:p>
    <w:p w14:paraId="2FACD00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平台以</w:t>
      </w:r>
      <w:r>
        <w:rPr>
          <w:rFonts w:cs="Times New Roman"/>
          <w:color w:val="000000"/>
        </w:rPr>
        <w:t xml:space="preserve"> Windows </w:t>
      </w:r>
      <w:r>
        <w:rPr>
          <w:rFonts w:ascii="宋体" w:hAnsi="宋体" w:cs="Times New Roman"/>
          <w:color w:val="000000"/>
        </w:rPr>
        <w:t xml:space="preserve">桌面程序的形式交付，最低配置要求为：处理器为</w:t>
      </w:r>
      <w:r>
        <w:rPr>
          <w:rFonts w:cs="Times New Roman"/>
          <w:color w:val="000000"/>
        </w:rPr>
        <w:t xml:space="preserve"> Intel </w:t>
      </w:r>
      <w:r>
        <w:rPr>
          <w:rFonts w:ascii="宋体" w:hAnsi="宋体" w:cs="Times New Roman"/>
          <w:color w:val="000000"/>
        </w:rPr>
        <w:t xml:space="preserve">或</w:t>
      </w:r>
      <w:r>
        <w:rPr>
          <w:rFonts w:cs="Times New Roman"/>
          <w:color w:val="000000"/>
        </w:rPr>
        <w:t xml:space="preserve"> AMD x86-64 </w:t>
      </w:r>
      <w:r>
        <w:rPr>
          <w:rFonts w:ascii="宋体" w:hAnsi="宋体" w:cs="Times New Roman"/>
          <w:color w:val="000000"/>
        </w:rPr>
        <w:t xml:space="preserve">处理器；操作系统为</w:t>
      </w:r>
      <w:r>
        <w:rPr>
          <w:rFonts w:cs="Times New Roman"/>
          <w:color w:val="000000"/>
        </w:rPr>
        <w:t xml:space="preserve"> Windows 11 </w:t>
      </w:r>
      <w:r>
        <w:rPr>
          <w:rFonts w:ascii="宋体" w:hAnsi="宋体" w:cs="Times New Roman"/>
          <w:color w:val="000000"/>
        </w:rPr>
        <w:t xml:space="preserve">及以上（</w:t>
      </w:r>
      <w:r>
        <w:rPr>
          <w:rFonts w:cs="Times New Roman"/>
          <w:color w:val="000000"/>
        </w:rPr>
        <w:t xml:space="preserve">64 </w:t>
      </w:r>
      <w:r>
        <w:rPr>
          <w:rFonts w:ascii="宋体" w:hAnsi="宋体" w:cs="Times New Roman"/>
          <w:color w:val="000000"/>
        </w:rPr>
        <w:t xml:space="preserve">位）；内存至少</w:t>
      </w:r>
      <w:r>
        <w:rPr>
          <w:rFonts w:cs="Times New Roman"/>
          <w:color w:val="000000"/>
        </w:rPr>
        <w:t xml:space="preserve"> 8 GB</w:t>
      </w:r>
      <w:r>
        <w:rPr>
          <w:rFonts w:ascii="宋体" w:hAnsi="宋体" w:cs="Times New Roman"/>
          <w:color w:val="000000"/>
        </w:rPr>
        <w:t xml:space="preserve">，推荐</w:t>
      </w:r>
      <w:r>
        <w:rPr>
          <w:rFonts w:cs="Times New Roman"/>
          <w:color w:val="000000"/>
        </w:rPr>
        <w:t xml:space="preserve"> 16 GB </w:t>
      </w:r>
      <w:r>
        <w:rPr>
          <w:rFonts w:ascii="宋体" w:hAnsi="宋体" w:cs="Times New Roman"/>
          <w:color w:val="000000"/>
        </w:rPr>
        <w:t xml:space="preserve">及以上；硬盘空间</w:t>
      </w:r>
      <w:r>
        <w:rPr>
          <w:rFonts w:cs="Times New Roman"/>
          <w:color w:val="000000"/>
        </w:rPr>
        <w:t xml:space="preserve"> 7 GB </w:t>
      </w:r>
      <w:r>
        <w:rPr>
          <w:rFonts w:ascii="宋体" w:hAnsi="宋体" w:cs="Times New Roman"/>
          <w:color w:val="000000"/>
        </w:rPr>
        <w:t xml:space="preserve">及以上；显示分辨率建议</w:t>
      </w:r>
      <w:r>
        <w:rPr>
          <w:rFonts w:cs="Times New Roman"/>
          <w:color w:val="000000"/>
        </w:rPr>
        <w:t xml:space="preserve"> 1920×1080 </w:t>
      </w:r>
      <w:r>
        <w:rPr>
          <w:rFonts w:ascii="宋体" w:hAnsi="宋体" w:cs="Times New Roman"/>
          <w:color w:val="000000"/>
        </w:rPr>
        <w:t xml:space="preserve">及以上，以便完整显示五栏工作流与结果工作区。以源码方式运行时，需要</w:t>
      </w:r>
      <w:r>
        <w:rPr>
          <w:rFonts w:cs="Times New Roman"/>
          <w:color w:val="000000"/>
        </w:rPr>
        <w:t xml:space="preserve"> Python 3.11</w:t>
      </w:r>
      <w:r>
        <w:rPr>
          <w:rFonts w:ascii="宋体" w:hAnsi="宋体" w:cs="Times New Roman"/>
          <w:color w:val="000000"/>
        </w:rPr>
        <w:t xml:space="preserve">～</w:t>
      </w:r>
      <w:r>
        <w:rPr>
          <w:rFonts w:cs="Times New Roman"/>
          <w:color w:val="000000"/>
        </w:rPr>
        <w:t xml:space="preserve">3.13 </w:t>
      </w:r>
      <w:r>
        <w:rPr>
          <w:rFonts w:ascii="宋体" w:hAnsi="宋体" w:cs="Times New Roman"/>
          <w:color w:val="000000"/>
        </w:rPr>
        <w:t xml:space="preserve">环境并安装</w:t>
      </w:r>
      <w:r>
        <w:rPr>
          <w:rFonts w:cs="Times New Roman"/>
          <w:color w:val="000000"/>
        </w:rPr>
        <w:t xml:space="preserve"> requirements/requirements.txt </w:t>
      </w:r>
      <w:r>
        <w:rPr>
          <w:rFonts w:ascii="宋体" w:hAnsi="宋体" w:cs="Times New Roman"/>
          <w:color w:val="000000"/>
        </w:rPr>
        <w:t xml:space="preserve">中的依赖；使用安装包时不需要预先安装</w:t>
      </w:r>
      <w:r>
        <w:rPr>
          <w:rFonts w:cs="Times New Roman"/>
          <w:color w:val="000000"/>
        </w:rPr>
        <w:t xml:space="preserve"> Python</w:t>
      </w:r>
      <w:r>
        <w:rPr>
          <w:rFonts w:ascii="宋体" w:hAnsi="宋体" w:cs="Times New Roman"/>
          <w:color w:val="000000"/>
        </w:rPr>
        <w:t xml:space="preserve">，安装程序已将解释器与全部依赖库一并封装。</w:t>
      </w:r>
    </w:p>
    <w:p w14:paraId="7A40D38C">
      <w:r>
        <w:br w:type="page"/>
      </w:r>
    </w:p>
    <w:p w14:paraId="73AB6894">
      <w:pPr>
        <w:pStyle w:val="2"/>
        <w:spacing w:before="312" w:after="312"/>
      </w:pPr>
      <w:bookmarkStart w:id="39" w:name="_Toc25905"/>
      <w:r>
        <w:rPr>
          <w:rFonts w:hint="eastAsia"/>
        </w:rPr>
        <w:t>5平台功能介绍</w:t>
      </w:r>
      <w:bookmarkEnd w:id="39"/>
    </w:p>
    <w:p w14:paraId="6D3A47A9">
      <w:pPr>
        <w:pStyle w:val="3"/>
        <w:rPr>
          <w:rFonts w:eastAsia="黑体" w:cs="Times New Roman"/>
          <w:b/>
          <w:color w:val="000000"/>
          <w:sz w:val="30"/>
          <w:szCs w:val="30"/>
        </w:rPr>
      </w:pPr>
      <w:bookmarkStart w:id="40" w:name="_Toc24503"/>
      <w:r>
        <w:t xml:space="preserve">5.1 平台总体功能与工作流</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平台按照</w:t>
      </w:r>
      <w:r>
        <w:rPr>
          <w:rFonts w:cs="Times New Roman"/>
          <w:color w:val="000000"/>
        </w:rPr>
        <w:t xml:space="preserve">“</w:t>
      </w:r>
      <w:r>
        <w:rPr>
          <w:rFonts w:ascii="宋体" w:hAnsi="宋体" w:cs="Times New Roman"/>
          <w:color w:val="000000"/>
        </w:rPr>
        <w:t xml:space="preserve">教学理解</w:t>
      </w:r>
      <w:r>
        <w:rPr>
          <w:rFonts w:cs="Times New Roman"/>
          <w:color w:val="000000"/>
        </w:rPr>
        <w:t xml:space="preserve">—</w:t>
      </w:r>
      <w:r>
        <w:rPr>
          <w:rFonts w:ascii="宋体" w:hAnsi="宋体" w:cs="Times New Roman"/>
          <w:color w:val="000000"/>
        </w:rPr>
        <w:t xml:space="preserve">正式仿真</w:t>
      </w:r>
      <w:r>
        <w:rPr>
          <w:rFonts w:cs="Times New Roman"/>
          <w:color w:val="000000"/>
        </w:rPr>
        <w:t xml:space="preserve">—</w:t>
      </w:r>
      <w:r>
        <w:rPr>
          <w:rFonts w:ascii="宋体" w:hAnsi="宋体" w:cs="Times New Roman"/>
          <w:color w:val="000000"/>
        </w:rPr>
        <w:t xml:space="preserve">参数研究</w:t>
      </w:r>
      <w:r>
        <w:rPr>
          <w:rFonts w:cs="Times New Roman"/>
          <w:color w:val="000000"/>
        </w:rPr>
        <w:t xml:space="preserve">—</w:t>
      </w:r>
      <w:r>
        <w:rPr>
          <w:rFonts w:ascii="宋体" w:hAnsi="宋体" w:cs="Times New Roman"/>
          <w:color w:val="000000"/>
        </w:rPr>
        <w:t xml:space="preserve">智能优化</w:t>
      </w:r>
      <w:r>
        <w:rPr>
          <w:rFonts w:cs="Times New Roman"/>
          <w:color w:val="000000"/>
        </w:rPr>
        <w:t xml:space="preserve">—</w:t>
      </w:r>
      <w:r>
        <w:rPr>
          <w:rFonts w:ascii="宋体" w:hAnsi="宋体" w:cs="Times New Roman"/>
          <w:color w:val="000000"/>
        </w:rPr>
        <w:t xml:space="preserve">结果解释</w:t>
      </w:r>
      <w:r>
        <w:rPr>
          <w:rFonts w:cs="Times New Roman"/>
          <w:color w:val="000000"/>
        </w:rPr>
        <w:t xml:space="preserve">”</w:t>
      </w:r>
      <w:r>
        <w:rPr>
          <w:rFonts w:ascii="宋体" w:hAnsi="宋体" w:cs="Times New Roman"/>
          <w:color w:val="000000"/>
        </w:rPr>
        <w:t xml:space="preserve">的闭环研究流程组织功能。首页按一级功能栏的顺序给出五个功能区入口，各模块围绕同一工程快照协同工作，使研究者不需要在页面之间反复切换即可完成从建模到结论的完整链路。</w:t>
      </w:r>
    </w:p>
    <w:p w14:paraId="6845FF3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五个功能区之间按照研究流程形成联动关系。教学区帮助使用者理解光路结构和器件作用；仿真区负责建立工程、提交正式计算并查看光学结果；模型区负责生成数据、训练代理模型和进行快速预测；优化区根据目标筛选参数组合并把候选方案回写工程；解释区利用</w:t>
      </w:r>
      <w:r>
        <w:rPr>
          <w:rFonts w:cs="Times New Roman"/>
          <w:color w:val="000000"/>
        </w:rPr>
        <w:t xml:space="preserve"> SHAP </w:t>
      </w:r>
      <w:r>
        <w:rPr>
          <w:rFonts w:ascii="宋体" w:hAnsi="宋体" w:cs="Times New Roman"/>
          <w:color w:val="000000"/>
        </w:rPr>
        <w:t xml:space="preserve">和物理链路说明模型为什么给出当前判断。整个过程中，平台保留任务状态和工程快照，并支持在需要时调用 </w:t>
      </w:r>
      <w:r>
        <w:rPr>
          <w:rFonts w:cs="Times New Roman"/>
          <w:color w:val="000000"/>
        </w:rPr>
        <w:t xml:space="preserve">AI </w:t>
      </w:r>
      <w:r>
        <w:rPr>
          <w:rFonts w:ascii="宋体" w:hAnsi="宋体" w:cs="Times New Roman"/>
          <w:color w:val="000000"/>
        </w:rPr>
        <w:t>进行概念讲解、结果说明和操作建议。</w:t>
      </w:r>
    </w:p>
    <w:p w14:paraId="7B6847F7">
      <w:pPr>
        <w:pStyle w:val="3"/>
        <w:bidi w:val="0"/>
        <w:rPr>
          <w:rFonts w:ascii="Calibri" w:hAnsi="Calibri" w:eastAsia="MS Gothic" w:cs="Times New Roman"/>
          <w:b/>
          <w:bCs/>
          <w:color w:val="000000"/>
          <w:kern w:val="0"/>
          <w:sz w:val="28"/>
          <w:szCs w:val="28"/>
        </w:rPr>
      </w:pPr>
      <w:r>
        <w:t xml:space="preserve">5.2 功能模块设计及其对耦合研究的支撑</w:t>
      </w:r>
    </w:p>
    <w:p w14:paraId="66998BDA">
      <w:pPr>
        <w:pStyle w:val="4"/>
        <w:bidi w:val="0"/>
        <w:rPr>
          <w:rFonts w:eastAsia="黑体" w:cs="Times New Roman"/>
          <w:b/>
          <w:color w:val="000000"/>
          <w:sz w:val="28"/>
          <w:szCs w:val="28"/>
        </w:rPr>
      </w:pPr>
      <w:r>
        <w:t xml:space="preserve">5.2.1 首页</w:t>
      </w:r>
    </w:p>
    <w:p w14:paraId="1CD839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打开平台后首先进入首页。首页中央以</w:t>
      </w:r>
      <w:r>
        <w:rPr>
          <w:rFonts w:cs="Times New Roman"/>
          <w:color w:val="000000"/>
        </w:rPr>
        <w:t xml:space="preserve">“</w:t>
      </w:r>
      <w:r>
        <w:rPr>
          <w:rFonts w:ascii="宋体" w:hAnsi="宋体" w:cs="Times New Roman"/>
          <w:color w:val="000000"/>
        </w:rPr>
        <w:t xml:space="preserve">光学研究工作流</w:t>
      </w:r>
      <w:r>
        <w:rPr>
          <w:rFonts w:cs="Times New Roman"/>
          <w:color w:val="000000"/>
        </w:rPr>
        <w:t xml:space="preserve">”</w:t>
      </w:r>
      <w:r>
        <w:rPr>
          <w:rFonts w:ascii="宋体" w:hAnsi="宋体" w:cs="Times New Roman"/>
          <w:color w:val="000000"/>
        </w:rPr>
        <w:t xml:space="preserve">为主题，按一级功能栏的顺序横向排列教学、仿真、模型、优化和解释五个功能区，每个功能区用若干快捷卡片说明该环节的用途并给出直达入口：教学栏为</w:t>
      </w:r>
      <w:r>
        <w:rPr>
          <w:rFonts w:cs="Times New Roman"/>
          <w:color w:val="000000"/>
        </w:rPr>
        <w:t xml:space="preserve">“</w:t>
      </w:r>
      <w:r>
        <w:rPr>
          <w:rFonts w:ascii="宋体" w:hAnsi="宋体" w:cs="Times New Roman"/>
          <w:color w:val="000000"/>
        </w:rPr>
        <w:t xml:space="preserve">教学入门</w:t>
      </w:r>
      <w:r>
        <w:rPr>
          <w:rFonts w:cs="Times New Roman"/>
          <w:color w:val="000000"/>
        </w:rPr>
        <w:t xml:space="preserve">”“</w:t>
      </w:r>
      <w:r>
        <w:rPr>
          <w:rFonts w:ascii="宋体" w:hAnsi="宋体" w:cs="Times New Roman"/>
          <w:color w:val="000000"/>
        </w:rPr>
        <w:t xml:space="preserve">器材库</w:t>
      </w:r>
      <w:r>
        <w:rPr>
          <w:rFonts w:cs="Times New Roman"/>
          <w:color w:val="000000"/>
        </w:rPr>
        <w:t xml:space="preserve">”“</w:t>
      </w:r>
      <w:r>
        <w:rPr>
          <w:rFonts w:ascii="宋体" w:hAnsi="宋体" w:cs="Times New Roman"/>
          <w:color w:val="000000"/>
        </w:rPr>
        <w:t xml:space="preserve">成像与耦合</w:t>
      </w:r>
      <w:r>
        <w:rPr>
          <w:rFonts w:cs="Times New Roman"/>
          <w:color w:val="000000"/>
        </w:rPr>
        <w:t xml:space="preserve">”“</w:t>
      </w:r>
      <w:r>
        <w:rPr>
          <w:rFonts w:ascii="宋体" w:hAnsi="宋体" w:cs="Times New Roman"/>
          <w:color w:val="000000"/>
        </w:rPr>
        <w:t xml:space="preserve">同步到仿真</w:t>
      </w:r>
      <w:r>
        <w:rPr>
          <w:rFonts w:cs="Times New Roman"/>
          <w:color w:val="000000"/>
        </w:rPr>
        <w:t xml:space="preserve">”</w:t>
      </w:r>
      <w:r>
        <w:rPr>
          <w:rFonts w:ascii="宋体" w:hAnsi="宋体" w:cs="Times New Roman"/>
          <w:color w:val="000000"/>
        </w:rPr>
        <w:t xml:space="preserve">，仿真栏为</w:t>
      </w:r>
      <w:r>
        <w:rPr>
          <w:rFonts w:cs="Times New Roman"/>
          <w:color w:val="000000"/>
        </w:rPr>
        <w:t xml:space="preserve">“</w:t>
      </w:r>
      <w:r>
        <w:rPr>
          <w:rFonts w:ascii="宋体" w:hAnsi="宋体" w:cs="Times New Roman"/>
          <w:color w:val="000000"/>
        </w:rPr>
        <w:t xml:space="preserve">搭建系统</w:t>
      </w:r>
      <w:r>
        <w:rPr>
          <w:rFonts w:cs="Times New Roman"/>
          <w:color w:val="000000"/>
        </w:rPr>
        <w:t xml:space="preserve">”“</w:t>
      </w:r>
      <w:r>
        <w:rPr>
          <w:rFonts w:ascii="宋体" w:hAnsi="宋体" w:cs="Times New Roman"/>
          <w:color w:val="000000"/>
        </w:rPr>
        <w:t xml:space="preserve">观察结果</w:t>
      </w:r>
      <w:r>
        <w:rPr>
          <w:rFonts w:cs="Times New Roman"/>
          <w:color w:val="000000"/>
        </w:rPr>
        <w:t xml:space="preserve">”“</w:t>
      </w:r>
      <w:r>
        <w:rPr>
          <w:rFonts w:ascii="宋体" w:hAnsi="宋体" w:cs="Times New Roman"/>
          <w:color w:val="000000"/>
        </w:rPr>
        <w:t xml:space="preserve">测量数据</w:t>
      </w:r>
      <w:r>
        <w:rPr>
          <w:rFonts w:cs="Times New Roman"/>
          <w:color w:val="000000"/>
        </w:rPr>
        <w:t xml:space="preserve">”“</w:t>
      </w:r>
      <w:r>
        <w:rPr>
          <w:rFonts w:ascii="宋体" w:hAnsi="宋体" w:cs="Times New Roman"/>
          <w:color w:val="000000"/>
        </w:rPr>
        <w:t xml:space="preserve">分析结果</w:t>
      </w:r>
      <w:r>
        <w:rPr>
          <w:rFonts w:cs="Times New Roman"/>
          <w:color w:val="000000"/>
        </w:rPr>
        <w:t xml:space="preserve">”</w:t>
      </w:r>
      <w:r>
        <w:rPr>
          <w:rFonts w:ascii="宋体" w:hAnsi="宋体" w:cs="Times New Roman"/>
          <w:color w:val="000000"/>
        </w:rPr>
        <w:t xml:space="preserve">，模型栏为</w:t>
      </w:r>
      <w:r>
        <w:rPr>
          <w:rFonts w:cs="Times New Roman"/>
          <w:color w:val="000000"/>
        </w:rPr>
        <w:t xml:space="preserve">“</w:t>
      </w:r>
      <w:r>
        <w:rPr>
          <w:rFonts w:ascii="宋体" w:hAnsi="宋体" w:cs="Times New Roman"/>
          <w:color w:val="000000"/>
        </w:rPr>
        <w:t xml:space="preserve">准备数据集</w:t>
      </w:r>
      <w:r>
        <w:rPr>
          <w:rFonts w:cs="Times New Roman"/>
          <w:color w:val="000000"/>
        </w:rPr>
        <w:t xml:space="preserve">”“</w:t>
      </w:r>
      <w:r>
        <w:rPr>
          <w:rFonts w:ascii="宋体" w:hAnsi="宋体" w:cs="Times New Roman"/>
          <w:color w:val="000000"/>
        </w:rPr>
        <w:t xml:space="preserve">训练模型</w:t>
      </w:r>
      <w:r>
        <w:rPr>
          <w:rFonts w:cs="Times New Roman"/>
          <w:color w:val="000000"/>
        </w:rPr>
        <w:t xml:space="preserve">”“</w:t>
      </w:r>
      <w:r>
        <w:rPr>
          <w:rFonts w:ascii="宋体" w:hAnsi="宋体" w:cs="Times New Roman"/>
          <w:color w:val="000000"/>
        </w:rPr>
        <w:t xml:space="preserve">模型预测</w:t>
      </w:r>
      <w:r>
        <w:rPr>
          <w:rFonts w:cs="Times New Roman"/>
          <w:color w:val="000000"/>
        </w:rPr>
        <w:t xml:space="preserve">”</w:t>
      </w:r>
      <w:r>
        <w:rPr>
          <w:rFonts w:ascii="宋体" w:hAnsi="宋体" w:cs="Times New Roman"/>
          <w:color w:val="000000"/>
        </w:rPr>
        <w:t xml:space="preserve">，优化栏为</w:t>
      </w:r>
      <w:r>
        <w:rPr>
          <w:rFonts w:cs="Times New Roman"/>
          <w:color w:val="000000"/>
        </w:rPr>
        <w:t xml:space="preserve">“</w:t>
      </w:r>
      <w:r>
        <w:rPr>
          <w:rFonts w:ascii="宋体" w:hAnsi="宋体" w:cs="Times New Roman"/>
          <w:color w:val="000000"/>
        </w:rPr>
        <w:t xml:space="preserve">优化变量</w:t>
      </w:r>
      <w:r>
        <w:rPr>
          <w:rFonts w:cs="Times New Roman"/>
          <w:color w:val="000000"/>
        </w:rPr>
        <w:t xml:space="preserve">”“</w:t>
      </w:r>
      <w:r>
        <w:rPr>
          <w:rFonts w:ascii="宋体" w:hAnsi="宋体" w:cs="Times New Roman"/>
          <w:color w:val="000000"/>
        </w:rPr>
        <w:t xml:space="preserve">参数扫描</w:t>
      </w:r>
      <w:r>
        <w:rPr>
          <w:rFonts w:cs="Times New Roman"/>
          <w:color w:val="000000"/>
        </w:rPr>
        <w:t xml:space="preserve">”“</w:t>
      </w:r>
      <w:r>
        <w:rPr>
          <w:rFonts w:ascii="宋体" w:hAnsi="宋体" w:cs="Times New Roman"/>
          <w:color w:val="000000"/>
        </w:rPr>
        <w:t xml:space="preserve">优化结果</w:t>
      </w:r>
      <w:r>
        <w:rPr>
          <w:rFonts w:cs="Times New Roman"/>
          <w:color w:val="000000"/>
        </w:rPr>
        <w:t xml:space="preserve">”</w:t>
      </w:r>
      <w:r>
        <w:rPr>
          <w:rFonts w:ascii="宋体" w:hAnsi="宋体" w:cs="Times New Roman"/>
          <w:color w:val="000000"/>
        </w:rPr>
        <w:t xml:space="preserve">，解释栏为</w:t>
      </w:r>
      <w:r>
        <w:rPr>
          <w:rFonts w:cs="Times New Roman"/>
          <w:color w:val="000000"/>
        </w:rPr>
        <w:t xml:space="preserve">“</w:t>
      </w:r>
      <w:r>
        <w:rPr>
          <w:rFonts w:ascii="宋体" w:hAnsi="宋体" w:cs="Times New Roman"/>
          <w:color w:val="000000"/>
        </w:rPr>
        <w:t xml:space="preserve">贡献排序</w:t>
      </w:r>
      <w:r>
        <w:rPr>
          <w:rFonts w:cs="Times New Roman"/>
          <w:color w:val="000000"/>
        </w:rPr>
        <w:t xml:space="preserve">”“</w:t>
      </w:r>
      <w:r>
        <w:rPr>
          <w:rFonts w:ascii="宋体" w:hAnsi="宋体" w:cs="Times New Roman"/>
          <w:color w:val="000000"/>
        </w:rPr>
        <w:t xml:space="preserve">物理链路</w:t>
      </w:r>
      <w:r>
        <w:rPr>
          <w:rFonts w:cs="Times New Roman"/>
          <w:color w:val="000000"/>
        </w:rPr>
        <w:t xml:space="preserve">”“</w:t>
      </w:r>
      <w:r>
        <w:rPr>
          <w:rFonts w:ascii="宋体" w:hAnsi="宋体" w:cs="Times New Roman"/>
          <w:color w:val="000000"/>
        </w:rPr>
        <w:t xml:space="preserve">当前系统验证</w:t>
      </w:r>
      <w:r>
        <w:rPr>
          <w:rFonts w:cs="Times New Roman"/>
          <w:color w:val="000000"/>
        </w:rPr>
        <w:t xml:space="preserve">”</w:t>
      </w:r>
      <w:r>
        <w:rPr>
          <w:rFonts w:ascii="宋体" w:hAnsi="宋体" w:cs="Times New Roman"/>
          <w:color w:val="000000"/>
        </w:rPr>
        <w:t xml:space="preserve">。五个功能区既是功能说明，也是快捷入口；点击卡片即可直接跳转到对应模块的相应页面，使用者不需要先熟悉复杂的菜单层级即可定位任务。</w:t>
      </w:r>
    </w:p>
    <w:p w14:paraId="45787040">
      <w:pPr>
        <w:pStyle w:val="26"/>
        <w:bidi w:val="0"/>
        <w:rPr>
          <w:rFonts w:cs="Times New Roman"/>
          <w:color w:val="000000"/>
        </w:rPr>
      </w:pPr>
      <w:r>
        <w:rPr>
          <w:rFonts w:cs="Times New Roman"/>
          <w:color w:val="000000"/>
        </w:rPr>
        <w:drawing>
          <wp:inline distT="0" distB="0" distL="0" distR="0">
            <wp:extent cx="5709920" cy="3221355"/>
            <wp:effectExtent l="0" t="0" r="5080" b="1714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45C54349">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5-1 </w:t>
      </w:r>
      <w:r>
        <w:rPr>
          <w:rFonts w:hint="eastAsia" w:cs="Times New Roman"/>
          <w:b w:val="0"/>
          <w:bCs/>
          <w:sz w:val="21"/>
          <w:szCs w:val="21"/>
        </w:rPr>
        <w:t>首页“光学研究工作流”五大功能区总览</w:t>
      </w:r>
    </w:p>
    <w:p w14:paraId="79C0C712">
      <w:pPr>
        <w:pStyle w:val="4"/>
        <w:rPr>
          <w:rFonts w:eastAsia="黑体" w:cs="Times New Roman"/>
          <w:b/>
          <w:color w:val="000000"/>
          <w:sz w:val="30"/>
          <w:szCs w:val="30"/>
        </w:rPr>
      </w:pPr>
      <w:r>
        <w:t xml:space="preserve">5.2.2 教学模块</w:t>
      </w:r>
    </w:p>
    <w:p w14:paraId="541A8DB9">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教学模块提供一个可自由搭建的光学实验台。器材库窗口按光源、光学元件、接收与测量和台面分组列出可放置的器件，并给出工程常用规格，使用者可以直接把器件拖入桌面组成光路，也可以选中器件后查看或修改其位置、姿态和参数；接收与测量类器材包括光纤、</w:t>
      </w:r>
      <w:r>
        <w:rPr>
          <w:rFonts w:cs="Times New Roman"/>
          <w:color w:val="000000"/>
        </w:rPr>
        <w:t xml:space="preserve">CCD</w:t>
      </w:r>
      <w:r>
        <w:rPr>
          <w:rFonts w:ascii="宋体" w:hAnsi="宋体" w:cs="Times New Roman"/>
          <w:color w:val="000000"/>
        </w:rPr>
        <w:t xml:space="preserve">、功率计、波前传感器和示波器。画布支持二维与三维两种视图，两者共享同一场景模型，器件的位置和朝向在两种视图中同步更新。</w:t>
      </w:r>
    </w:p>
    <w:p w14:paraId="5EA29C15">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桌面提供</w:t>
      </w:r>
      <w:r>
        <w:rPr>
          <w:rFonts w:cs="Times New Roman"/>
          <w:color w:val="000000"/>
        </w:rPr>
        <w:t xml:space="preserve">“</w:t>
      </w:r>
      <w:r>
        <w:rPr>
          <w:rFonts w:ascii="宋体" w:hAnsi="宋体" w:cs="Times New Roman"/>
          <w:color w:val="000000"/>
        </w:rPr>
        <w:t xml:space="preserve">成像与耦合</w:t>
      </w:r>
      <w:r>
        <w:rPr>
          <w:rFonts w:cs="Times New Roman"/>
          <w:color w:val="000000"/>
        </w:rPr>
        <w:t xml:space="preserve">”</w:t>
      </w:r>
      <w:r>
        <w:rPr>
          <w:rFonts w:ascii="宋体" w:hAnsi="宋体" w:cs="Times New Roman"/>
          <w:color w:val="000000"/>
        </w:rPr>
        <w:t xml:space="preserve">入口，点击后弹出结果窗口：上半部分显示接收面光斑图，并标出理想像心与实际质心；下半部分给出成像与耦合指标，包括</w:t>
      </w:r>
      <w:r>
        <w:rPr>
          <w:rFonts w:cs="Times New Roman"/>
          <w:color w:val="000000"/>
        </w:rPr>
        <w:t xml:space="preserve"> RMS </w:t>
      </w:r>
      <w:r>
        <w:rPr>
          <w:rFonts w:ascii="宋体" w:hAnsi="宋体" w:cs="Times New Roman"/>
          <w:color w:val="000000"/>
        </w:rPr>
        <w:t xml:space="preserve">光斑半径、光斑质心</w:t>
      </w:r>
      <w:r>
        <w:rPr>
          <w:rFonts w:cs="Times New Roman"/>
          <w:color w:val="000000"/>
        </w:rPr>
        <w:t xml:space="preserve"> X/Y</w:t>
      </w:r>
      <w:r>
        <w:rPr>
          <w:rFonts w:ascii="宋体" w:hAnsi="宋体" w:cs="Times New Roman"/>
          <w:color w:val="000000"/>
        </w:rPr>
        <w:t xml:space="preserve">、像面位置、有效光线数，以及模式耦合效率、模式重叠效率、端面接收效率、总耦合效率和耦合损耗。窗口中的结果会标注来源档位（教学示意、近似计算或正式计算），便于区分直观演示与正式结论。</w:t>
      </w:r>
    </w:p>
    <w:p w14:paraId="5EA29C15">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cs="Times New Roman"/>
          <w:color w:val="000000"/>
        </w:rPr>
        <w:t xml:space="preserve">“</w:t>
      </w:r>
      <w:r>
        <w:rPr>
          <w:rFonts w:ascii="宋体" w:hAnsi="宋体" w:cs="Times New Roman"/>
          <w:color w:val="000000"/>
        </w:rPr>
        <w:t xml:space="preserve">方案</w:t>
      </w:r>
      <w:r>
        <w:rPr>
          <w:rFonts w:cs="Times New Roman"/>
          <w:color w:val="000000"/>
        </w:rPr>
        <w:t xml:space="preserve">”</w:t>
      </w:r>
      <w:r>
        <w:rPr>
          <w:rFonts w:ascii="宋体" w:hAnsi="宋体" w:cs="Times New Roman"/>
          <w:color w:val="000000"/>
        </w:rPr>
        <w:t xml:space="preserve">菜单内置单透镜、双透镜、三透镜与</w:t>
      </w:r>
      <w:r>
        <w:rPr>
          <w:rFonts w:cs="Times New Roman"/>
          <w:color w:val="000000"/>
        </w:rPr>
        <w:t xml:space="preserve">“</w:t>
      </w:r>
      <w:r>
        <w:rPr>
          <w:rFonts w:ascii="宋体" w:hAnsi="宋体" w:cs="Times New Roman"/>
          <w:color w:val="000000"/>
        </w:rPr>
        <w:t xml:space="preserve">四非球面</w:t>
      </w:r>
      <w:r>
        <w:rPr>
          <w:rFonts w:cs="Times New Roman"/>
          <w:color w:val="000000"/>
        </w:rPr>
        <w:t xml:space="preserve"> · 780 nm </w:t>
      </w:r>
      <w:r>
        <w:rPr>
          <w:rFonts w:ascii="宋体" w:hAnsi="宋体" w:cs="Times New Roman"/>
          <w:color w:val="000000"/>
        </w:rPr>
        <w:t xml:space="preserve">高效耦合</w:t>
      </w:r>
      <w:r>
        <w:rPr>
          <w:rFonts w:cs="Times New Roman"/>
          <w:color w:val="000000"/>
        </w:rPr>
        <w:t xml:space="preserve">”</w:t>
      </w:r>
      <w:r>
        <w:rPr>
          <w:rFonts w:ascii="宋体" w:hAnsi="宋体" w:cs="Times New Roman"/>
          <w:color w:val="000000"/>
        </w:rPr>
        <w:t xml:space="preserve">几种标准方案，可直接载入观察；</w:t>
      </w:r>
      <w:r>
        <w:rPr>
          <w:rFonts w:cs="Times New Roman"/>
          <w:color w:val="000000"/>
        </w:rPr>
        <w:t xml:space="preserve">“</w:t>
      </w:r>
      <w:r>
        <w:rPr>
          <w:rFonts w:ascii="宋体" w:hAnsi="宋体" w:cs="Times New Roman"/>
          <w:color w:val="000000"/>
        </w:rPr>
        <w:t xml:space="preserve">画布</w:t>
      </w:r>
      <w:r>
        <w:rPr>
          <w:rFonts w:cs="Times New Roman"/>
          <w:color w:val="000000"/>
        </w:rPr>
        <w:t xml:space="preserve">”</w:t>
      </w:r>
      <w:r>
        <w:rPr>
          <w:rFonts w:ascii="宋体" w:hAnsi="宋体" w:cs="Times New Roman"/>
          <w:color w:val="000000"/>
        </w:rPr>
        <w:t xml:space="preserve">下拉用于切换二维与三维视图，</w:t>
      </w:r>
      <w:r>
        <w:rPr>
          <w:rFonts w:cs="Times New Roman"/>
          <w:color w:val="000000"/>
        </w:rPr>
        <w:t xml:space="preserve">“</w:t>
      </w:r>
      <w:r>
        <w:rPr>
          <w:rFonts w:ascii="宋体" w:hAnsi="宋体" w:cs="Times New Roman"/>
          <w:color w:val="000000"/>
        </w:rPr>
        <w:t xml:space="preserve">视角</w:t>
      </w:r>
      <w:r>
        <w:rPr>
          <w:rFonts w:cs="Times New Roman"/>
          <w:color w:val="000000"/>
        </w:rPr>
        <w:t xml:space="preserve">”</w:t>
      </w:r>
      <w:r>
        <w:rPr>
          <w:rFonts w:ascii="宋体" w:hAnsi="宋体" w:cs="Times New Roman"/>
          <w:color w:val="000000"/>
        </w:rPr>
        <w:t xml:space="preserve">菜单提供重置三维视角、俯视和二维适配画面；工具条右侧提供撤销、重做、删除和清空等操作。教学场景还可以通过</w:t>
      </w:r>
      <w:r>
        <w:rPr>
          <w:rFonts w:cs="Times New Roman"/>
          <w:color w:val="000000"/>
        </w:rPr>
        <w:t xml:space="preserve">“</w:t>
      </w:r>
      <w:r>
        <w:rPr>
          <w:rFonts w:ascii="宋体" w:hAnsi="宋体" w:cs="Times New Roman"/>
          <w:color w:val="000000"/>
        </w:rPr>
        <w:t xml:space="preserve">同步到仿真</w:t>
      </w:r>
      <w:r>
        <w:rPr>
          <w:rFonts w:cs="Times New Roman"/>
          <w:color w:val="000000"/>
        </w:rPr>
        <w:t xml:space="preserve">”</w:t>
      </w:r>
      <w:r>
        <w:rPr>
          <w:rFonts w:ascii="宋体" w:hAnsi="宋体" w:cs="Times New Roman"/>
          <w:color w:val="000000"/>
        </w:rPr>
        <w:t xml:space="preserve">写入当前工程，或用</w:t>
      </w:r>
      <w:r>
        <w:rPr>
          <w:rFonts w:cs="Times New Roman"/>
          <w:color w:val="000000"/>
        </w:rPr>
        <w:t xml:space="preserve">“</w:t>
      </w:r>
      <w:r>
        <w:rPr>
          <w:rFonts w:ascii="宋体" w:hAnsi="宋体" w:cs="Times New Roman"/>
          <w:color w:val="000000"/>
        </w:rPr>
        <w:t xml:space="preserve">从仿真更新</w:t>
      </w:r>
      <w:r>
        <w:rPr>
          <w:rFonts w:cs="Times New Roman"/>
          <w:color w:val="000000"/>
        </w:rPr>
        <w:t xml:space="preserve">”</w:t>
      </w:r>
      <w:r>
        <w:rPr>
          <w:rFonts w:ascii="宋体" w:hAnsi="宋体" w:cs="Times New Roman"/>
          <w:color w:val="000000"/>
        </w:rPr>
        <w:t xml:space="preserve">把工程参数取回教学台，使同一套器件位置、波长和光纤模场参数能够从教学演示延伸到正式仿真。</w:t>
      </w:r>
    </w:p>
    <w:p w14:paraId="35D39B4F">
      <w:pPr>
        <w:pStyle w:val="26"/>
        <w:pageBreakBefore w:val="0"/>
        <w:widowControl w:val="0"/>
        <w:kinsoku/>
        <w:wordWrap/>
        <w:overflowPunct/>
        <w:topLinePunct w:val="0"/>
        <w:autoSpaceDE/>
        <w:autoSpaceDN/>
        <w:bidi w:val="0"/>
        <w:adjustRightInd/>
        <w:snapToGrid/>
        <w:spacing w:before="60" w:after="120"/>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cs="宋体"/>
          <w:color w:val="000000"/>
          <w:sz w:val="21"/>
          <w:szCs w:val="21"/>
        </w:rPr>
        <w:drawing>
          <wp:inline distT="0" distB="0" distL="0" distR="0">
            <wp:extent cx="5709920" cy="1924685"/>
            <wp:effectExtent l="0" t="0" r="5080" b="1841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w:t>
      </w:r>
    </w:p>
    <w:p w14:paraId="0454E212">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5-2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教学模块中的器材拖拽、四透镜模型和即时耦合结果</w:t>
      </w:r>
    </w:p>
    <w:p w14:paraId="41E0EDA9">
      <w:pPr>
        <w:pStyle w:val="4"/>
        <w:rPr>
          <w:rFonts w:eastAsia="黑体" w:cs="Times New Roman"/>
          <w:b/>
          <w:color w:val="000000"/>
          <w:sz w:val="30"/>
          <w:szCs w:val="30"/>
        </w:rPr>
      </w:pPr>
      <w:r>
        <w:t xml:space="preserve">5.2.3 仿真模块</w:t>
      </w:r>
    </w:p>
    <w:p w14:paraId="02B12332">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仿真模块用于对当前工程或优化方案进行正式物理验证。左侧对象栏按光源、材料、光纤、探测器、环境和视场分组：光源可设置类型、主波长与辅助波长、总功率、束腰半径与光束质量</w:t>
      </w:r>
      <w:r>
        <w:rPr>
          <w:rFonts w:cs="Times New Roman"/>
          <w:color w:val="000000"/>
        </w:rPr>
        <w:t xml:space="preserve"> M²</w:t>
      </w:r>
      <w:r>
        <w:rPr>
          <w:rFonts w:ascii="宋体" w:hAnsi="宋体" w:cs="Times New Roman"/>
          <w:color w:val="000000"/>
        </w:rPr>
        <w:t xml:space="preserve">，椭圆光斑可分别设置</w:t>
      </w:r>
      <w:r>
        <w:rPr>
          <w:rFonts w:cs="Times New Roman"/>
          <w:color w:val="000000"/>
        </w:rPr>
        <w:t xml:space="preserve"> X/Y </w:t>
      </w:r>
      <w:r>
        <w:rPr>
          <w:rFonts w:ascii="宋体" w:hAnsi="宋体" w:cs="Times New Roman"/>
          <w:color w:val="000000"/>
        </w:rPr>
        <w:t xml:space="preserve">方向参数；光纤可设置光纤类型、模式、模场直径或芯径与数值孔径，以及端面位置、横向偏移、轴向偏移和倾角；环境可设置环境温度、大气压与温度补偿；视场可设置入瞳半径与视场角。中间工作区的</w:t>
      </w:r>
      <w:r>
        <w:rPr>
          <w:rFonts w:cs="Times New Roman"/>
          <w:color w:val="000000"/>
        </w:rPr>
        <w:t xml:space="preserve">“</w:t>
      </w:r>
      <w:r>
        <w:rPr>
          <w:rFonts w:ascii="宋体" w:hAnsi="宋体" w:cs="Times New Roman"/>
          <w:color w:val="000000"/>
        </w:rPr>
        <w:t xml:space="preserve">镜头数据</w:t>
      </w:r>
      <w:r>
        <w:rPr>
          <w:rFonts w:cs="Times New Roman"/>
          <w:color w:val="000000"/>
        </w:rPr>
        <w:t xml:space="preserve">”</w:t>
      </w:r>
      <w:r>
        <w:rPr>
          <w:rFonts w:ascii="宋体" w:hAnsi="宋体" w:cs="Times New Roman"/>
          <w:color w:val="000000"/>
        </w:rPr>
        <w:t xml:space="preserve">页提供顺序光学表面表，可编辑各面的曲率半径、厚度、材料、有效口径和非球面参数，并支持插入、复制和删除表面。</w:t>
      </w:r>
    </w:p>
    <w:p w14:paraId="4ED3519D">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使用者可以直接调用优化模块得到的参数，点击一级功能栏的</w:t>
      </w:r>
      <w:r>
        <w:rPr>
          <w:rFonts w:cs="Times New Roman"/>
          <w:color w:val="000000"/>
        </w:rPr>
        <w:t xml:space="preserve">“</w:t>
      </w:r>
      <w:r>
        <w:rPr>
          <w:rFonts w:ascii="宋体" w:hAnsi="宋体" w:cs="Times New Roman"/>
          <w:color w:val="000000"/>
        </w:rPr>
        <w:t xml:space="preserve">开始计算</w:t>
      </w:r>
      <w:r>
        <w:rPr>
          <w:rFonts w:cs="Times New Roman"/>
          <w:color w:val="000000"/>
        </w:rPr>
        <w:t xml:space="preserve">”</w:t>
      </w:r>
      <w:r>
        <w:rPr>
          <w:rFonts w:ascii="宋体" w:hAnsi="宋体" w:cs="Times New Roman"/>
          <w:color w:val="000000"/>
        </w:rPr>
        <w:t xml:space="preserve">提交任务。计算完成后，平台按光路图、光斑图、光纤耦合、波前与衍射四个结果页依次展示：光路图用于观察光线在各面之间的传播和会聚，并可切换到三维视图；光斑图用于查看尺寸、形状与能量分布；光纤耦合页给出端面匹配与模式重叠结果；波前与衍射页给出波前</w:t>
      </w:r>
      <w:r>
        <w:rPr>
          <w:rFonts w:cs="Times New Roman"/>
          <w:color w:val="000000"/>
        </w:rPr>
        <w:t xml:space="preserve"> RMS</w:t>
      </w:r>
      <w:r>
        <w:rPr>
          <w:rFonts w:ascii="宋体" w:hAnsi="宋体" w:cs="Times New Roman"/>
          <w:color w:val="000000"/>
        </w:rPr>
        <w:t xml:space="preserve">、斯特列尔比以及波前与</w:t>
      </w:r>
      <w:r>
        <w:rPr>
          <w:rFonts w:cs="Times New Roman"/>
          <w:color w:val="000000"/>
        </w:rPr>
        <w:t xml:space="preserve"> PSF </w:t>
      </w:r>
      <w:r>
        <w:rPr>
          <w:rFonts w:ascii="宋体" w:hAnsi="宋体" w:cs="Times New Roman"/>
          <w:color w:val="000000"/>
        </w:rPr>
        <w:t xml:space="preserve">图。每个结果页都可以展开文字诊断、放大查看或导出图片。</w:t>
      </w:r>
    </w:p>
    <w:p w14:paraId="6B49A718">
      <w:pPr>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 xml:space="preserve">仿真模块还支持复光场导入：可以从文件载入预先计算的外部复光场，作为光源初始场或接收模式直接进入模式重叠积分，从而把平台与外部光学软件、测量重构或理论构造的复场衔接起来。仿真设置中可启用光纤对准搜索，由平台在给定的偏移与倾角范围内寻找较优组合。仿真结果与工程快照绑定，使用者可以在不同结果文档之间切换，也可以返回参数页面修改方案后重新计算；正式仿真结果是模型、优化和</w:t>
      </w:r>
      <w:r>
        <w:rPr>
          <w:rFonts w:cs="Times New Roman"/>
          <w:color w:val="000000"/>
        </w:rPr>
        <w:t xml:space="preserve"> SHAP </w:t>
      </w:r>
      <w:r>
        <w:rPr>
          <w:rFonts w:ascii="宋体" w:hAnsi="宋体" w:cs="Times New Roman"/>
          <w:color w:val="000000"/>
        </w:rPr>
        <w:t xml:space="preserve">分析的物理依据，当代理模型提出候选方案时，平台仍要求回到仿真模块进行独立复核。</w:t>
      </w:r>
    </w:p>
    <w:p w14:paraId="34C6745B">
      <w:pPr>
        <w:pStyle w:val="26"/>
        <w:pageBreakBefore w:val="0"/>
        <w:widowControl w:val="0"/>
        <w:kinsoku/>
        <w:wordWrap/>
        <w:overflowPunct/>
        <w:topLinePunct w:val="0"/>
        <w:autoSpaceDE/>
        <w:autoSpaceDN/>
        <w:bidi w:val="0"/>
        <w:adjustRightInd/>
        <w:snapToGrid/>
        <w:spacing w:before="100" w:beforeAutospacing="1" w:after="120"/>
        <w:ind w:left="0" w:leftChars="0" w:firstLine="480" w:firstLineChars="200"/>
        <w:jc w:val="center"/>
        <w:textAlignment w:val="auto"/>
        <w:rPr>
          <w:rFonts w:cs="Times New Roman"/>
          <w:color w:val="000000"/>
        </w:rPr>
      </w:pPr>
      <w:r>
        <w:rPr>
          <w:rFonts w:cs="Times New Roman"/>
          <w:color w:val="000000"/>
        </w:rPr>
        <w:drawing>
          <wp:inline distT="0" distB="0" distL="0" distR="0">
            <wp:extent cx="5709920" cy="3838575"/>
            <wp:effectExtent l="0" t="0" r="508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709920" cy="3838575"/>
                    </a:xfrm>
                    <a:prstGeom prst="rect">
                      <a:avLst/>
                    </a:prstGeom>
                    <a:noFill/>
                    <a:ln>
                      <a:noFill/>
                    </a:ln>
                  </pic:spPr>
                </pic:pic>
              </a:graphicData>
            </a:graphic>
          </wp:inline>
        </w:drawing>
      </w:r>
      <w:r>
        <w:rPr>
          <w:rFonts w:cs="Times New Roman"/>
          <w:color w:val="000000"/>
        </w:rPr>
        <w:t xml:space="preserve"> </w:t>
      </w:r>
    </w:p>
    <w:p w14:paraId="53D28DD6">
      <w:pPr>
        <w:pStyle w:val="27"/>
        <w:pageBreakBefore w:val="0"/>
        <w:widowControl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5-3 </w:t>
      </w:r>
      <w:r>
        <w:rPr>
          <w:rFonts w:hint="eastAsia" w:cs="Times New Roman"/>
          <w:b w:val="0"/>
          <w:bCs/>
          <w:sz w:val="21"/>
          <w:szCs w:val="21"/>
        </w:rPr>
        <w:t>仿真模块的光路、光斑、耦合及波前分析结果</w:t>
      </w:r>
    </w:p>
    <w:p w14:paraId="57CE197D">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在</w:t>
      </w:r>
      <w:r>
        <w:t>波长：780 nm；光源腰斑尺寸：</w:t>
      </w:r>
      <w:r>
        <w:rPr>
          <w:rFonts w:hint="eastAsia"/>
        </w:rPr>
        <w:t xml:space="preserve">x方向束腰半径为0.893mm，y方向束腰半径1.05mm，x方向M2为3.05，y方向M2为1.33，改变第一个透镜的前表面曲率半径，结果如图5-4所示。 </w:t>
      </w:r>
    </w:p>
    <w:p w14:paraId="4492E832">
      <w:pPr>
        <w:pStyle w:val="26"/>
        <w:rPr>
          <w:lang w:bidi="ar"/>
        </w:rPr>
      </w:pPr>
      <w:r>
        <w:drawing>
          <wp:inline distT="0" distB="0" distL="0" distR="0">
            <wp:extent cx="5940425" cy="5148580"/>
            <wp:effectExtent l="0" t="0" r="3175" b="13970"/>
            <wp:docPr id="924839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151" name="图片 1"/>
                    <pic:cNvPicPr>
                      <a:picLocks noChangeAspect="1"/>
                    </pic:cNvPicPr>
                  </pic:nvPicPr>
                  <pic:blipFill>
                    <a:blip r:embed="rId86"/>
                    <a:stretch>
                      <a:fillRect/>
                    </a:stretch>
                  </pic:blipFill>
                  <pic:spPr>
                    <a:xfrm>
                      <a:off x="0" y="0"/>
                      <a:ext cx="5940425" cy="5148580"/>
                    </a:xfrm>
                    <a:prstGeom prst="rect">
                      <a:avLst/>
                    </a:prstGeom>
                  </pic:spPr>
                </pic:pic>
              </a:graphicData>
            </a:graphic>
          </wp:inline>
        </w:drawing>
      </w:r>
    </w:p>
    <w:p w14:paraId="404D1C07">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5-4</w:t>
      </w:r>
      <w:r>
        <w:rPr>
          <w:rFonts w:hint="eastAsia" w:cs="Times New Roman"/>
          <w:b w:val="0"/>
          <w:bCs/>
          <w:sz w:val="21"/>
          <w:szCs w:val="21"/>
        </w:rPr>
        <w:t xml:space="preserve"> 仿真结果</w:t>
      </w:r>
    </w:p>
    <w:p w14:paraId="0263FB4E">
      <w:pPr>
        <w:pStyle w:val="4"/>
        <w:rPr>
          <w:rFonts w:eastAsia="黑体" w:cs="Times New Roman"/>
          <w:b/>
          <w:color w:val="000000"/>
          <w:sz w:val="30"/>
          <w:szCs w:val="30"/>
        </w:rPr>
      </w:pPr>
      <w:r>
        <w:t xml:space="preserve">5.2.4 模型模块</w:t>
      </w:r>
    </w:p>
    <w:p w14:paraId="4316B7EF">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 xml:space="preserve">模型模块的数据来源包括平台内置数据集、外部导入数据集和由仿真数据自动生成的数据集，并可选择按照镜头采样或按照元件顺序采样，使每个训练样本都能够对应到物理仿真的输入和输出。生成数据时可设置研究对象（单透镜至四透镜）、变量方案、样本数、目标变量、采样方法（</w:t>
      </w:r>
      <w:r>
        <w:rPr>
          <w:rFonts w:cs="Times New Roman"/>
          <w:color w:val="000000"/>
        </w:rPr>
        <w:t xml:space="preserve">Latin Hypercube </w:t>
      </w:r>
      <w:r>
        <w:rPr>
          <w:rFonts w:ascii="宋体" w:hAnsi="宋体" w:cs="Times New Roman"/>
          <w:color w:val="000000"/>
        </w:rPr>
        <w:t xml:space="preserve">或</w:t>
      </w:r>
      <w:r>
        <w:rPr>
          <w:rFonts w:cs="Times New Roman"/>
          <w:color w:val="000000"/>
        </w:rPr>
        <w:t xml:space="preserve"> Sobol </w:t>
      </w:r>
      <w:r>
        <w:rPr>
          <w:rFonts w:ascii="宋体" w:hAnsi="宋体" w:cs="Times New Roman"/>
          <w:color w:val="000000"/>
        </w:rPr>
        <w:t xml:space="preserve">低差异采样）、验证集比例和随机种子。</w:t>
      </w:r>
    </w:p>
    <w:p w14:paraId="68D59D3C">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 xml:space="preserve">点击</w:t>
      </w:r>
      <w:r>
        <w:rPr>
          <w:rFonts w:cs="Times New Roman"/>
          <w:color w:val="000000"/>
        </w:rPr>
        <w:t xml:space="preserve">“</w:t>
      </w:r>
      <w:r>
        <w:rPr>
          <w:rFonts w:ascii="宋体" w:hAnsi="宋体" w:cs="Times New Roman"/>
          <w:color w:val="000000"/>
        </w:rPr>
        <w:t xml:space="preserve">开始训练</w:t>
      </w:r>
      <w:r>
        <w:rPr>
          <w:rFonts w:cs="Times New Roman"/>
          <w:color w:val="000000"/>
        </w:rPr>
        <w:t xml:space="preserve">”</w:t>
      </w:r>
      <w:r>
        <w:rPr>
          <w:rFonts w:ascii="宋体" w:hAnsi="宋体" w:cs="Times New Roman"/>
          <w:color w:val="000000"/>
        </w:rPr>
        <w:t xml:space="preserve">后，平台联合训练随机森林与</w:t>
      </w:r>
      <w:r>
        <w:rPr>
          <w:rFonts w:cs="Times New Roman"/>
          <w:color w:val="000000"/>
        </w:rPr>
        <w:t xml:space="preserve"> XGBoost </w:t>
      </w:r>
      <w:r>
        <w:rPr>
          <w:rFonts w:ascii="宋体" w:hAnsi="宋体" w:cs="Times New Roman"/>
          <w:color w:val="000000"/>
        </w:rPr>
        <w:t xml:space="preserve">物理残差模型，并在训练结果页输出残差图、实测值与预测值对照、残差分布和验证误差曲线，同时给出测试指标。四类视图分别用于观察单样本误差、预测与真实结果的一致性、误差是否存在系统性偏差以及训练过程是否收敛充分。当元件数量可变时，还可以选择结构序列数据集训练</w:t>
      </w:r>
      <w:r>
        <w:rPr>
          <w:rFonts w:cs="Times New Roman"/>
          <w:color w:val="000000"/>
        </w:rPr>
        <w:t xml:space="preserve"> BiLSTM </w:t>
      </w:r>
      <w:r>
        <w:rPr>
          <w:rFonts w:ascii="宋体" w:hAnsi="宋体" w:cs="Times New Roman"/>
          <w:color w:val="000000"/>
        </w:rPr>
        <w:t xml:space="preserve">序列模型。训练完成的模型可在模型预测页直接使用，输入新的参数组合即可快速得到预测结果，并与同一组参数的正式仿真结果对照，为参数扫描和优化提供高速近似计算。</w:t>
      </w:r>
      <w:r>
        <w:rPr>
          <w:rFonts w:cs="Times New Roman"/>
          <w:color w:val="000000"/>
        </w:rPr>
        <w:drawing>
          <wp:inline distT="0" distB="0" distL="0" distR="0">
            <wp:extent cx="5709920" cy="1924685"/>
            <wp:effectExtent l="0" t="0" r="5080" b="1079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709920" cy="1924685"/>
                    </a:xfrm>
                    <a:prstGeom prst="rect">
                      <a:avLst/>
                    </a:prstGeom>
                    <a:noFill/>
                    <a:ln>
                      <a:noFill/>
                    </a:ln>
                  </pic:spPr>
                </pic:pic>
              </a:graphicData>
            </a:graphic>
          </wp:inline>
        </w:drawing>
      </w:r>
    </w:p>
    <w:p w14:paraId="0AF651BD">
      <w:pPr>
        <w:spacing w:before="100" w:beforeAutospacing="1" w:after="120"/>
        <w:jc w:val="center"/>
        <w:rPr>
          <w:rFonts w:cs="Times New Roman"/>
          <w:color w:val="000000"/>
        </w:rPr>
      </w:pPr>
      <w:r>
        <w:rPr>
          <w:rFonts w:cs="Times New Roman"/>
          <w:color w:val="000000"/>
        </w:rPr>
        <w:t xml:space="preserve"> </w:t>
      </w:r>
    </w:p>
    <w:p w14:paraId="69B3B3C8">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5-5 </w:t>
      </w:r>
      <w:r>
        <w:rPr>
          <w:rFonts w:hint="eastAsia" w:cs="Times New Roman"/>
          <w:b w:val="0"/>
          <w:bCs/>
          <w:sz w:val="21"/>
          <w:szCs w:val="21"/>
        </w:rPr>
        <w:t>模型模块的数据源选择与联合训练结果</w:t>
      </w:r>
    </w:p>
    <w:p w14:paraId="0575E695">
      <w:pPr>
        <w:pStyle w:val="4"/>
        <w:rPr>
          <w:rFonts w:eastAsia="黑体" w:cs="Times New Roman"/>
          <w:b/>
          <w:color w:val="000000"/>
          <w:sz w:val="30"/>
          <w:szCs w:val="30"/>
        </w:rPr>
      </w:pPr>
      <w:r>
        <w:t xml:space="preserve">5.2.5 优化模块</w:t>
      </w:r>
    </w:p>
    <w:p w14:paraId="3A90B897">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 xml:space="preserve">进入优化模块后，使用者先在左栏的参数列表中勾选需要优化的变量并设定取值范围，再选择优化方式、优化目标和最大评价次数，启动优化任务。优化方式可以选择</w:t>
      </w:r>
      <w:r>
        <w:rPr>
          <w:rFonts w:cs="Times New Roman"/>
          <w:color w:val="000000"/>
        </w:rPr>
        <w:t xml:space="preserve">“</w:t>
      </w:r>
      <w:r>
        <w:rPr>
          <w:rFonts w:ascii="宋体" w:hAnsi="宋体" w:cs="Times New Roman"/>
          <w:color w:val="000000"/>
        </w:rPr>
        <w:t xml:space="preserve">当前仿真</w:t>
      </w:r>
      <w:r>
        <w:rPr>
          <w:rFonts w:cs="Times New Roman"/>
          <w:color w:val="000000"/>
        </w:rPr>
        <w:t xml:space="preserve">”</w:t>
      </w:r>
      <w:r>
        <w:rPr>
          <w:rFonts w:ascii="宋体" w:hAnsi="宋体" w:cs="Times New Roman"/>
          <w:color w:val="000000"/>
        </w:rPr>
        <w:t xml:space="preserve">直接搜索，也可以选择</w:t>
      </w:r>
      <w:r>
        <w:rPr>
          <w:rFonts w:cs="Times New Roman"/>
          <w:color w:val="000000"/>
        </w:rPr>
        <w:t xml:space="preserve">“</w:t>
      </w:r>
      <w:r>
        <w:rPr>
          <w:rFonts w:ascii="宋体" w:hAnsi="宋体" w:cs="Times New Roman"/>
          <w:color w:val="000000"/>
        </w:rPr>
        <w:t xml:space="preserve">训练模型辅助</w:t>
      </w:r>
      <w:r>
        <w:rPr>
          <w:rFonts w:cs="Times New Roman"/>
          <w:color w:val="000000"/>
        </w:rPr>
        <w:t xml:space="preserve">”</w:t>
      </w:r>
      <w:r>
        <w:rPr>
          <w:rFonts w:ascii="宋体" w:hAnsi="宋体" w:cs="Times New Roman"/>
          <w:color w:val="000000"/>
        </w:rPr>
        <w:t xml:space="preserve">，用已训练的模型加速候选筛选，最终仍由正式仿真验证。优化过程中，界面实时显示目标指标的过程曲线，并通过候选对照表呈现不同参数组合的性能与状态。</w:t>
      </w:r>
    </w:p>
    <w:p w14:paraId="3F0A8C74">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 xml:space="preserve">优化完成后，优化结果页给出多个可比较的候选方案及其状态。使用者选择方案后点击</w:t>
      </w:r>
      <w:r>
        <w:rPr>
          <w:rFonts w:cs="Times New Roman"/>
          <w:color w:val="000000"/>
        </w:rPr>
        <w:t xml:space="preserve">“</w:t>
      </w:r>
      <w:r>
        <w:rPr>
          <w:rFonts w:ascii="宋体" w:hAnsi="宋体" w:cs="Times New Roman"/>
          <w:color w:val="000000"/>
        </w:rPr>
        <w:t xml:space="preserve">应用方案</w:t>
      </w:r>
      <w:r>
        <w:rPr>
          <w:rFonts w:cs="Times New Roman"/>
          <w:color w:val="000000"/>
        </w:rPr>
        <w:t xml:space="preserve">”</w:t>
      </w:r>
      <w:r>
        <w:rPr>
          <w:rFonts w:ascii="宋体" w:hAnsi="宋体" w:cs="Times New Roman"/>
          <w:color w:val="000000"/>
        </w:rPr>
        <w:t xml:space="preserve">，优化参数随即回写到当前工程，并由平台自动发起一次正式仿真验证，给出应用前后的耦合效率对比。除多变量优化外，平台还提供参数扫描功能，支持一维扫描、二维扫描和多参数采样，可选择的响应量包括耦合效率、</w:t>
      </w:r>
      <w:r>
        <w:rPr>
          <w:rFonts w:cs="Times New Roman"/>
          <w:color w:val="000000"/>
        </w:rPr>
        <w:t xml:space="preserve">RMS </w:t>
      </w:r>
      <w:r>
        <w:rPr>
          <w:rFonts w:ascii="宋体" w:hAnsi="宋体" w:cs="Times New Roman"/>
          <w:color w:val="000000"/>
        </w:rPr>
        <w:t xml:space="preserve">光斑、斯特列尔比和边缘功率，采样尺度可选择线性、对数或自适应加密；固定其他条件观察单一参数的变化趋势，可以为判断局部最优、敏感区间和后续实验取值提供依据。</w:t>
      </w:r>
    </w:p>
    <w:p w14:paraId="1B2C4704">
      <w:pPr>
        <w:pStyle w:val="26"/>
        <w:spacing w:before="100" w:beforeAutospacing="1" w:after="120"/>
        <w:jc w:val="center"/>
        <w:rPr>
          <w:rFonts w:cs="Times New Roman"/>
          <w:color w:val="000000"/>
        </w:rPr>
      </w:pPr>
      <w:r>
        <w:rPr>
          <w:rFonts w:cs="Times New Roman"/>
          <w:color w:val="000000"/>
        </w:rPr>
        <w:drawing>
          <wp:inline distT="0" distB="0" distL="0" distR="0">
            <wp:extent cx="5709920" cy="3221355"/>
            <wp:effectExtent l="0" t="0" r="5080" b="1714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709920" cy="3221355"/>
                    </a:xfrm>
                    <a:prstGeom prst="rect">
                      <a:avLst/>
                    </a:prstGeom>
                    <a:noFill/>
                    <a:ln>
                      <a:noFill/>
                    </a:ln>
                  </pic:spPr>
                </pic:pic>
              </a:graphicData>
            </a:graphic>
          </wp:inline>
        </w:drawing>
      </w:r>
      <w:r>
        <w:rPr>
          <w:rFonts w:cs="Times New Roman"/>
          <w:color w:val="000000"/>
        </w:rPr>
        <w:t xml:space="preserve"> </w:t>
      </w:r>
    </w:p>
    <w:p w14:paraId="55B0EB15">
      <w:pPr>
        <w:pStyle w:val="27"/>
        <w:pageBreakBefore w:val="0"/>
        <w:kinsoku/>
        <w:wordWrap/>
        <w:overflowPunct/>
        <w:topLinePunct w:val="0"/>
        <w:autoSpaceDE/>
        <w:autoSpaceDN/>
        <w:bidi w:val="0"/>
        <w:adjustRightInd/>
        <w:snapToGrid/>
        <w:ind w:left="0" w:leftChars="0" w:firstLine="420" w:firstLineChars="200"/>
        <w:textAlignment w:val="auto"/>
        <w:rPr>
          <w:rFonts w:hint="eastAsia" w:cs="Times New Roman"/>
          <w:b w:val="0"/>
          <w:bCs/>
          <w:sz w:val="21"/>
          <w:szCs w:val="21"/>
        </w:rPr>
      </w:pPr>
      <w:r>
        <w:rPr>
          <w:rFonts w:hint="eastAsia" w:cs="Times New Roman"/>
          <w:b w:val="0"/>
          <w:bCs/>
          <w:sz w:val="21"/>
          <w:szCs w:val="21"/>
        </w:rPr>
        <w:t>图</w:t>
      </w:r>
      <w:r>
        <w:rPr>
          <w:rFonts w:hint="default" w:ascii="Times New Roman" w:hAnsi="Times New Roman" w:cs="Times New Roman"/>
          <w:b w:val="0"/>
          <w:bCs/>
          <w:sz w:val="21"/>
          <w:szCs w:val="21"/>
        </w:rPr>
        <w:t xml:space="preserve">5-6 </w:t>
      </w:r>
      <w:r>
        <w:rPr>
          <w:rFonts w:hint="eastAsia" w:cs="Times New Roman"/>
          <w:b w:val="0"/>
          <w:bCs/>
          <w:sz w:val="21"/>
          <w:szCs w:val="21"/>
        </w:rPr>
        <w:t>优化模块的收敛曲线与候选方案列表</w:t>
      </w:r>
    </w:p>
    <w:p w14:paraId="5793814A">
      <w:pPr>
        <w:pStyle w:val="4"/>
        <w:rPr>
          <w:rFonts w:eastAsia="黑体" w:cs="Times New Roman"/>
          <w:b/>
          <w:color w:val="000000"/>
          <w:sz w:val="30"/>
          <w:szCs w:val="30"/>
        </w:rPr>
      </w:pPr>
      <w:r>
        <w:t xml:space="preserve">5.2.6 解释模块</w:t>
      </w:r>
    </w:p>
    <w:p w14:paraId="257FD656">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为解释模型预测和优化结果背后的依据，平台提供解释模块。使用者在贡献排序页选择已经训练的模型并点击</w:t>
      </w:r>
      <w:r>
        <w:rPr>
          <w:rFonts w:cs="Times New Roman"/>
          <w:color w:val="000000"/>
        </w:rPr>
        <w:t>“</w:t>
      </w:r>
      <w:r>
        <w:rPr>
          <w:rFonts w:ascii="宋体" w:hAnsi="宋体" w:cs="Times New Roman"/>
          <w:color w:val="000000"/>
        </w:rPr>
        <w:t>计算解释</w:t>
      </w:r>
      <w:r>
        <w:rPr>
          <w:rFonts w:cs="Times New Roman"/>
          <w:color w:val="000000"/>
        </w:rPr>
        <w:t>”</w:t>
      </w:r>
      <w:r>
        <w:rPr>
          <w:rFonts w:ascii="宋体" w:hAnsi="宋体" w:cs="Times New Roman"/>
          <w:color w:val="000000"/>
        </w:rPr>
        <w:t>后，平台输出全局特征重要性排名、蜂群图、特征依赖网格图、单变量依赖趋势图、物理一致性图和瀑布图。全局视图用于判断哪些参数在整体样本中最重要，局部视图用于解释某一个候选方案的预测值由哪些参数共同形成。</w:t>
      </w:r>
    </w:p>
    <w:p w14:paraId="4A082171">
      <w:pPr>
        <w:keepNext w:val="0"/>
        <w:keepLines w:val="0"/>
        <w:pageBreakBefore w:val="0"/>
        <w:widowControl w:val="0"/>
        <w:kinsoku/>
        <w:wordWrap/>
        <w:overflowPunct/>
        <w:topLinePunct w:val="0"/>
        <w:autoSpaceDE/>
        <w:autoSpaceDN/>
        <w:bidi w:val="0"/>
        <w:adjustRightInd/>
        <w:snapToGrid/>
        <w:ind w:left="0" w:leftChars="0" w:firstLine="482"/>
        <w:textAlignment w:val="auto"/>
        <w:rPr>
          <w:rFonts w:cs="Times New Roman"/>
          <w:color w:val="000000"/>
        </w:rPr>
      </w:pPr>
      <w:r>
        <w:rPr>
          <w:rFonts w:ascii="宋体" w:hAnsi="宋体" w:cs="Times New Roman"/>
          <w:color w:val="000000"/>
        </w:rPr>
        <w:t xml:space="preserve">对于贡献度较高的参数，平台在物理链路页进一步给出对应的物理解释，把统计结论与表面光焦度、焦面位置、波前曲率和模式匹配等光学量联系起来，并给出下一步验证建议。</w:t>
      </w:r>
      <w:r>
        <w:rPr>
          <w:rFonts w:cs="Times New Roman"/>
          <w:color w:val="000000"/>
        </w:rPr>
        <w:t xml:space="preserve">SHAP </w:t>
      </w:r>
      <w:r>
        <w:rPr>
          <w:rFonts w:ascii="宋体" w:hAnsi="宋体" w:cs="Times New Roman"/>
          <w:color w:val="000000"/>
        </w:rPr>
        <w:t xml:space="preserve">结果反映的是模型在已有数据分布内的特征关联，不被单独当作因果证明；只有当模型解释与光学规律基本一致时，才把它作为参数筛选和实验设计的依据。</w:t>
      </w:r>
    </w:p>
    <w:p w14:paraId="0444F4BC">
      <w:pPr>
        <w:pStyle w:val="26"/>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0" distR="0">
            <wp:extent cx="4829175" cy="2492375"/>
            <wp:effectExtent l="0" t="0" r="9525" b="3175"/>
            <wp:docPr id="19710076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07678" name="图片 6"/>
                    <pic:cNvPicPr>
                      <a:picLocks noChangeAspect="1" noChangeArrowheads="1"/>
                    </pic:cNvPicPr>
                  </pic:nvPicPr>
                  <pic:blipFill>
                    <a:blip r:embed="rId89">
                      <a:extLst>
                        <a:ext uri="{28A0092B-C50C-407E-A947-70E740481C1C}">
                          <a14:useLocalDpi xmlns:a14="http://schemas.microsoft.com/office/drawing/2010/main" val="0"/>
                        </a:ext>
                      </a:extLst>
                    </a:blip>
                    <a:srcRect l="29663" t="33407" r="1069" b="10157"/>
                    <a:stretch>
                      <a:fillRect/>
                    </a:stretch>
                  </pic:blipFill>
                  <pic:spPr>
                    <a:xfrm>
                      <a:off x="0" y="0"/>
                      <a:ext cx="4834585" cy="2495631"/>
                    </a:xfrm>
                    <a:prstGeom prst="rect">
                      <a:avLst/>
                    </a:prstGeom>
                    <a:noFill/>
                    <a:ln>
                      <a:noFill/>
                    </a:ln>
                  </pic:spPr>
                </pic:pic>
              </a:graphicData>
            </a:graphic>
          </wp:inline>
        </w:drawing>
      </w:r>
    </w:p>
    <w:p w14:paraId="0F7E89E4">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5-7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解释模块的特征重要性图</w:t>
      </w:r>
    </w:p>
    <w:p w14:paraId="5A687AE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ascii="宋体" w:hAnsi="宋体" w:cs="Times New Roman"/>
          <w:color w:val="000000"/>
        </w:rPr>
        <w:t xml:space="preserve">为核对模型给出的参数依赖趋势，对关键参数做逐点正式扫描，结果如图</w:t>
      </w:r>
      <w:r>
        <w:rPr>
          <w:rFonts w:cs="Times New Roman"/>
          <w:color w:val="000000"/>
        </w:rPr>
        <w:t xml:space="preserve">5-8</w:t>
      </w:r>
      <w:r>
        <w:rPr>
          <w:rFonts w:ascii="宋体" w:hAnsi="宋体" w:cs="Times New Roman"/>
          <w:color w:val="000000"/>
        </w:rPr>
        <w:t xml:space="preserve">所示。</w:t>
      </w:r>
    </w:p>
    <w:p w14:paraId="4D266676">
      <w:pPr>
        <w:pStyle w:val="26"/>
        <w:bidi w:val="0"/>
      </w:pPr>
      <w:r>
        <w:drawing>
          <wp:inline distT="0" distB="0" distL="0" distR="0">
            <wp:extent cx="5940425" cy="3564255"/>
            <wp:effectExtent l="0" t="0" r="3175" b="17145"/>
            <wp:docPr id="67598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7906" name="图片 1"/>
                    <pic:cNvPicPr>
                      <a:picLocks noChangeAspect="1"/>
                    </pic:cNvPicPr>
                  </pic:nvPicPr>
                  <pic:blipFill>
                    <a:blip r:embed="rId90"/>
                    <a:stretch>
                      <a:fillRect/>
                    </a:stretch>
                  </pic:blipFill>
                  <pic:spPr>
                    <a:xfrm>
                      <a:off x="0" y="0"/>
                      <a:ext cx="5940425" cy="3564255"/>
                    </a:xfrm>
                    <a:prstGeom prst="rect">
                      <a:avLst/>
                    </a:prstGeom>
                  </pic:spPr>
                </pic:pic>
              </a:graphicData>
            </a:graphic>
          </wp:inline>
        </w:drawing>
      </w:r>
    </w:p>
    <w:p w14:paraId="6F20771F">
      <w:pPr>
        <w:pStyle w:val="27"/>
        <w:bidi w:val="0"/>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5-8</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耦合效率随参数变化</w:t>
      </w:r>
    </w:p>
    <w:p w14:paraId="0684915A">
      <w:pPr>
        <w:pStyle w:val="3"/>
        <w:rPr>
          <w:rFonts w:eastAsia="黑体" w:cs="Times New Roman"/>
          <w:b/>
          <w:color w:val="000000"/>
          <w:sz w:val="30"/>
          <w:szCs w:val="30"/>
        </w:rPr>
      </w:pPr>
      <w:r>
        <w:rPr>
          <w:rFonts w:cs="Times New Roman"/>
          <w:color w:val="000000"/>
        </w:rPr>
        <w:t xml:space="preserve">5.3 </w:t>
      </w:r>
      <w:r>
        <w:rPr>
          <w:rFonts w:ascii="宋体" w:hAnsi="宋体" w:cs="Times New Roman"/>
          <w:color w:val="000000"/>
        </w:rPr>
        <w:t xml:space="preserve">模块联动与</w:t>
      </w:r>
      <w:r>
        <w:rPr>
          <w:rFonts w:cs="Times New Roman"/>
          <w:color w:val="000000"/>
        </w:rPr>
        <w:t xml:space="preserve"> AI </w:t>
      </w:r>
      <w:r>
        <w:rPr>
          <w:rFonts w:ascii="宋体" w:hAnsi="宋体" w:cs="Times New Roman"/>
          <w:color w:val="000000"/>
        </w:rPr>
        <w:t xml:space="preserve">助手</w:t>
      </w:r>
    </w:p>
    <w:p w14:paraId="16E73BE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cs="Times New Roman"/>
          <w:color w:val="000000"/>
        </w:rPr>
      </w:pPr>
      <w:r>
        <w:rPr>
          <w:rFonts w:ascii="宋体" w:hAnsi="宋体" w:cs="Times New Roman"/>
          <w:color w:val="000000"/>
        </w:rPr>
        <w:t>平台的功能区不是相互独立的页面，而是围绕同一工程快照形成连续链路。教学模块可以从器材布置开始建立直观光路，仿真模块将其转化为正式计算，模型模块把仿真结果组织为数据集，优化模块从模型和正式结果中筛选参数，解释模块再将结果还原为可理解的物理原因。任一环节产生的参数、结果和状态都可回溯到对应任务，便于重复计算和实验前检查。</w:t>
      </w:r>
    </w:p>
    <w:p w14:paraId="5DB0742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s="宋体"/>
          <w:color w:val="000000"/>
        </w:rPr>
      </w:pPr>
      <w:r>
        <w:rPr>
          <w:rFonts w:ascii="宋体" w:hAnsi="宋体" w:cs="Times New Roman"/>
          <w:color w:val="000000"/>
        </w:rPr>
        <w:t xml:space="preserve">平台右下角提供</w:t>
      </w:r>
      <w:r>
        <w:rPr>
          <w:rFonts w:cs="Times New Roman"/>
          <w:color w:val="000000"/>
        </w:rPr>
        <w:t xml:space="preserve"> AI </w:t>
      </w:r>
      <w:r>
        <w:rPr>
          <w:rFonts w:ascii="宋体" w:hAnsi="宋体" w:cs="Times New Roman"/>
          <w:color w:val="000000"/>
        </w:rPr>
        <w:t xml:space="preserve">助手入口。</w:t>
      </w:r>
      <w:r>
        <w:rPr>
          <w:rFonts w:cs="Times New Roman"/>
          <w:color w:val="000000"/>
        </w:rPr>
        <w:t xml:space="preserve">AI </w:t>
      </w:r>
      <w:r>
        <w:rPr>
          <w:rFonts w:ascii="宋体" w:hAnsi="宋体" w:cs="Times New Roman"/>
          <w:color w:val="000000"/>
        </w:rPr>
        <w:t xml:space="preserve">助手基于本地知识库为使用者提供平台规则说明、光学概念阐释和操作步骤引导，例如解释界面指标的含义、说明参数之间的相互关系、给出下一步操作建议。</w:t>
      </w:r>
      <w:r>
        <w:rPr>
          <w:rFonts w:cs="Times New Roman"/>
          <w:color w:val="000000"/>
        </w:rPr>
        <w:t xml:space="preserve">AI </w:t>
      </w:r>
      <w:r>
        <w:rPr>
          <w:rFonts w:ascii="宋体" w:hAnsi="宋体" w:cs="Times New Roman"/>
          <w:color w:val="000000"/>
        </w:rPr>
        <w:t xml:space="preserve">助手的定位是辅助理解物理机制与完成平台操作，不替代正式仿真计算、实验测量或工程判断；涉及最终结论时，仍以工程快照、正式仿真结果、独立实验对比和结果版本记录为准。</w:t>
      </w:r>
    </w:p>
    <w:p w14:paraId="61E95BF0">
      <w:pPr>
        <w:rPr>
          <w:rFonts w:ascii="宋体" w:hAnsi="宋体" w:cs="宋体"/>
          <w:color w:val="000000"/>
        </w:rPr>
      </w:pPr>
      <w:r>
        <w:rPr>
          <w:rFonts w:ascii="宋体" w:hAnsi="宋体" w:cs="宋体"/>
          <w:color w:val="000000"/>
        </w:rPr>
        <w:br w:type="page"/>
      </w:r>
    </w:p>
    <w:p w14:paraId="108E6D47">
      <w:pPr>
        <w:ind w:firstLine="480" w:firstLineChars="200"/>
        <w:rPr>
          <w:rFonts w:hint="eastAsia" w:ascii="宋体" w:hAnsi="宋体" w:cs="宋体"/>
          <w:color w:val="000000"/>
        </w:rPr>
      </w:pPr>
    </w:p>
    <w:bookmarkEnd w:id="40"/>
    <w:p w14:paraId="35664794">
      <w:pPr>
        <w:pStyle w:val="2"/>
        <w:widowControl/>
        <w:spacing w:before="312" w:after="312"/>
      </w:pPr>
      <w:r>
        <w:t xml:space="preserve">6 </w:t>
      </w:r>
      <w:r>
        <w:rPr>
          <w:rFonts w:hint="eastAsia" w:cs="黑体"/>
        </w:rPr>
        <w:t>平台可行性验证</w:t>
      </w:r>
    </w:p>
    <w:p w14:paraId="2FD4D42E">
      <w:pPr>
        <w:pStyle w:val="3"/>
        <w:widowControl/>
        <w:spacing w:before="249" w:after="249"/>
      </w:pPr>
      <w:bookmarkStart w:id="41" w:name="_Toc23124"/>
      <w:r>
        <w:t xml:space="preserve">6.1 </w:t>
      </w:r>
      <w:r>
        <w:rPr>
          <w:rFonts w:hint="eastAsia" w:cs="黑体"/>
        </w:rPr>
        <w:t>实验一：</w:t>
      </w:r>
      <w:r>
        <w:t xml:space="preserve">CCD </w:t>
      </w:r>
      <w:r>
        <w:rPr>
          <w:rFonts w:hint="eastAsia" w:cs="黑体"/>
        </w:rPr>
        <w:t>拍摄单透镜光斑与</w:t>
      </w:r>
      <w:r>
        <w:t xml:space="preserve"> RMS </w:t>
      </w:r>
      <w:r>
        <w:rPr>
          <w:rFonts w:hint="eastAsia" w:cs="黑体"/>
        </w:rPr>
        <w:t>半径计算</w:t>
      </w:r>
      <w:bookmarkEnd w:id="41"/>
    </w:p>
    <w:p w14:paraId="12DCBEBB">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为验证平台对光斑尺寸的预测能力，实验一采用</w:t>
      </w:r>
      <w:r>
        <w:rPr>
          <w:rFonts w:cs="Times New Roman"/>
          <w:lang w:bidi="ar"/>
        </w:rPr>
        <w:t xml:space="preserve"> CCD </w:t>
      </w:r>
      <w:r>
        <w:rPr>
          <w:rFonts w:hint="eastAsia" w:cs="宋体"/>
          <w:lang w:bidi="ar"/>
        </w:rPr>
        <w:t>拍摄单透镜在不同位置下形成的光斑，并计算光斑</w:t>
      </w:r>
      <w:r>
        <w:rPr>
          <w:rFonts w:cs="Times New Roman"/>
          <w:lang w:bidi="ar"/>
        </w:rPr>
        <w:t xml:space="preserve"> RMS </w:t>
      </w:r>
      <w:r>
        <w:rPr>
          <w:rFonts w:hint="eastAsia" w:cs="宋体"/>
          <w:lang w:bidi="ar"/>
        </w:rPr>
        <w:t>半径，将结果与平台及</w:t>
      </w:r>
      <w:r>
        <w:rPr>
          <w:rFonts w:cs="Times New Roman"/>
          <w:lang w:bidi="ar"/>
        </w:rPr>
        <w:t xml:space="preserve"> Zemax </w:t>
      </w:r>
      <w:r>
        <w:rPr>
          <w:rFonts w:hint="eastAsia" w:cs="宋体"/>
          <w:lang w:bidi="ar"/>
        </w:rPr>
        <w:t>仿真进行比较。该实验主要验证从光源、透镜到接收面的光斑传播计算。</w:t>
      </w:r>
    </w:p>
    <w:p w14:paraId="398DD37E">
      <w:pPr>
        <w:pStyle w:val="4"/>
        <w:bidi w:val="0"/>
      </w:pPr>
      <w:bookmarkStart w:id="42" w:name="_Toc13539"/>
      <w:r>
        <w:t xml:space="preserve">6.1.1 </w:t>
      </w:r>
      <w:r>
        <w:rPr>
          <w:rFonts w:hint="eastAsia"/>
        </w:rPr>
        <w:t>实验目的</w:t>
      </w:r>
      <w:bookmarkEnd w:id="42"/>
    </w:p>
    <w:p w14:paraId="10F74E2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用</w:t>
      </w:r>
      <w:r>
        <w:rPr>
          <w:rFonts w:cs="Times New Roman"/>
          <w:lang w:bidi="ar"/>
        </w:rPr>
        <w:t xml:space="preserve"> CCD </w:t>
      </w:r>
      <w:r>
        <w:rPr>
          <w:rFonts w:hint="eastAsia" w:cs="宋体"/>
          <w:lang w:bidi="ar"/>
        </w:rPr>
        <w:t>拍摄不同焦距平凸透镜在不同位置下形成的光斑，计算</w:t>
      </w:r>
      <w:r>
        <w:rPr>
          <w:rFonts w:cs="Times New Roman"/>
          <w:lang w:bidi="ar"/>
        </w:rPr>
        <w:t xml:space="preserve"> X</w:t>
      </w:r>
      <w:r>
        <w:rPr>
          <w:rFonts w:hint="eastAsia" w:cs="宋体"/>
          <w:lang w:bidi="ar"/>
        </w:rPr>
        <w:t>、</w:t>
      </w:r>
      <w:r>
        <w:rPr>
          <w:rFonts w:cs="Times New Roman"/>
          <w:lang w:bidi="ar"/>
        </w:rPr>
        <w:t xml:space="preserve">Y </w:t>
      </w:r>
      <w:r>
        <w:rPr>
          <w:rFonts w:hint="eastAsia" w:cs="宋体"/>
          <w:lang w:bidi="ar"/>
        </w:rPr>
        <w:t>方向</w:t>
      </w:r>
      <w:r>
        <w:rPr>
          <w:rFonts w:cs="Times New Roman"/>
          <w:lang w:bidi="ar"/>
        </w:rPr>
        <w:t xml:space="preserve"> RMS </w:t>
      </w:r>
      <w:r>
        <w:rPr>
          <w:rFonts w:hint="eastAsia" w:cs="宋体"/>
          <w:lang w:bidi="ar"/>
        </w:rPr>
        <w:t>半径，与平台及</w:t>
      </w:r>
      <w:r>
        <w:rPr>
          <w:rFonts w:cs="Times New Roman"/>
          <w:lang w:bidi="ar"/>
        </w:rPr>
        <w:t xml:space="preserve"> Zemax </w:t>
      </w:r>
      <w:r>
        <w:rPr>
          <w:rFonts w:hint="eastAsia" w:cs="宋体"/>
          <w:lang w:bidi="ar"/>
        </w:rPr>
        <w:t>仿真结果对比，验证平台对单透镜光斑尺寸的预测能力。</w:t>
      </w:r>
    </w:p>
    <w:p w14:paraId="7A7E3602">
      <w:pPr>
        <w:pStyle w:val="4"/>
        <w:bidi w:val="0"/>
      </w:pPr>
      <w:bookmarkStart w:id="43" w:name="_Toc27439"/>
      <w:r>
        <w:t xml:space="preserve">6.1.2 </w:t>
      </w:r>
      <w:r>
        <w:rPr>
          <w:rFonts w:hint="eastAsia"/>
        </w:rPr>
        <w:t>实验原理</w:t>
      </w:r>
      <w:bookmarkEnd w:id="43"/>
    </w:p>
    <w:p w14:paraId="56EAF6FE">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设图像中第</w:t>
      </w:r>
      <w:r>
        <w:rPr>
          <w:rFonts w:cs="Times New Roman"/>
          <w:lang w:bidi="ar"/>
        </w:rPr>
        <w:t xml:space="preserve"> i </w:t>
      </w:r>
      <w:r>
        <w:rPr>
          <w:rFonts w:hint="eastAsia" w:cs="宋体"/>
          <w:lang w:bidi="ar"/>
        </w:rPr>
        <w:t>个像素的坐标为</w:t>
      </w:r>
      <w:r>
        <w:rPr>
          <w:rFonts w:cs="Times New Roman"/>
          <w:lang w:bidi="ar"/>
        </w:rPr>
        <w:t xml:space="preserve"> xᵢ</w:t>
      </w:r>
      <w:r>
        <w:rPr>
          <w:rFonts w:hint="eastAsia" w:cs="宋体"/>
          <w:lang w:bidi="ar"/>
        </w:rPr>
        <w:t>，灰度值为</w:t>
      </w:r>
      <w:r>
        <w:rPr>
          <w:rFonts w:cs="Times New Roman"/>
          <w:lang w:bidi="ar"/>
        </w:rPr>
        <w:t xml:space="preserve"> Iᵢ</w:t>
      </w:r>
      <w:r>
        <w:rPr>
          <w:rFonts w:hint="eastAsia" w:cs="宋体"/>
          <w:lang w:bidi="ar"/>
        </w:rPr>
        <w:t>，总光强为</w:t>
      </w:r>
      <w:r>
        <w:rPr>
          <w:rFonts w:cs="Times New Roman"/>
          <w:lang w:bidi="ar"/>
        </w:rPr>
        <w:object>
          <v:shape id="_x0000_i1049" o:spt="75" type="#_x0000_t75" style="height:20.25pt;width:57.75pt;" o:ole="t" filled="f" o:preferrelative="t" stroked="f" coordsize="21600,21600">
            <v:path/>
            <v:fill on="f" focussize="0,0"/>
            <v:stroke on="f" joinstyle="miter"/>
            <v:imagedata r:id="rId92" o:title=""/>
            <o:lock v:ext="edit" aspectratio="t"/>
            <w10:wrap type="none"/>
            <w10:anchorlock/>
          </v:shape>
          <o:OLEObject Type="Embed" ProgID="Equation.DSMT4" ShapeID="_x0000_i1049" DrawAspect="Content" ObjectID="_1468075750" r:id="rId91">
            <o:LockedField>false</o:LockedField>
          </o:OLEObject>
        </w:object>
      </w:r>
      <w:r>
        <w:rPr>
          <w:rFonts w:hint="eastAsia" w:cs="宋体"/>
          <w:lang w:bidi="ar"/>
        </w:rPr>
        <w:t>。光斑质心为</w:t>
      </w:r>
      <w:r>
        <w:rPr>
          <w:rFonts w:cs="Times New Roman"/>
          <w:lang w:bidi="ar"/>
        </w:rPr>
        <w:object>
          <v:shape id="_x0000_i1050" o:spt="75" type="#_x0000_t75" style="height:20.25pt;width:87.75pt;" o:ole="t" filled="f" o:preferrelative="t" stroked="f" coordsize="21600,21600">
            <v:path/>
            <v:fill on="f" focussize="0,0"/>
            <v:stroke on="f" joinstyle="miter"/>
            <v:imagedata r:id="rId94" o:title=""/>
            <o:lock v:ext="edit" aspectratio="t"/>
            <w10:wrap type="none"/>
            <w10:anchorlock/>
          </v:shape>
          <o:OLEObject Type="Embed" ProgID="Equation.DSMT4" ShapeID="_x0000_i1050" DrawAspect="Content" ObjectID="_1468075751" r:id="rId93">
            <o:LockedField>false</o:LockedField>
          </o:OLEObject>
        </w:object>
      </w:r>
      <w:r>
        <w:rPr>
          <w:rFonts w:hint="eastAsia" w:cs="宋体"/>
          <w:lang w:bidi="ar"/>
        </w:rPr>
        <w:t>，</w:t>
      </w:r>
      <w:r>
        <w:rPr>
          <w:rFonts w:cs="Times New Roman"/>
          <w:lang w:bidi="ar"/>
        </w:rPr>
        <w:t xml:space="preserve">X </w:t>
      </w:r>
      <w:r>
        <w:rPr>
          <w:rFonts w:hint="eastAsia" w:cs="宋体"/>
          <w:lang w:bidi="ar"/>
        </w:rPr>
        <w:t>方向</w:t>
      </w:r>
      <w:r>
        <w:rPr>
          <w:rFonts w:cs="Times New Roman"/>
          <w:lang w:bidi="ar"/>
        </w:rPr>
        <w:t xml:space="preserve"> RMS </w:t>
      </w:r>
      <w:r>
        <w:rPr>
          <w:rFonts w:hint="eastAsia" w:cs="宋体"/>
          <w:lang w:bidi="ar"/>
        </w:rPr>
        <w:t>半径为</w:t>
      </w:r>
      <w:r>
        <w:rPr>
          <w:rFonts w:cs="Times New Roman"/>
          <w:lang w:bidi="ar"/>
        </w:rPr>
        <w:object>
          <v:shape id="_x0000_i1051" o:spt="75" type="#_x0000_t75" style="height:20.25pt;width:141pt;" o:ole="t" filled="f" o:preferrelative="t" stroked="f" coordsize="21600,21600">
            <v:path/>
            <v:fill on="f" focussize="0,0"/>
            <v:stroke on="f" joinstyle="miter"/>
            <v:imagedata r:id="rId96" o:title=""/>
            <o:lock v:ext="edit" aspectratio="t"/>
            <w10:wrap type="none"/>
            <w10:anchorlock/>
          </v:shape>
          <o:OLEObject Type="Embed" ProgID="Equation.DSMT4" ShapeID="_x0000_i1051" DrawAspect="Content" ObjectID="_1468075752" r:id="rId95">
            <o:LockedField>false</o:LockedField>
          </o:OLEObject>
        </w:object>
      </w:r>
      <w:r>
        <w:rPr>
          <w:rFonts w:hint="eastAsia" w:cs="宋体"/>
          <w:lang w:bidi="ar"/>
        </w:rPr>
        <w:t>，</w:t>
      </w:r>
      <w:r>
        <w:rPr>
          <w:rFonts w:cs="Times New Roman"/>
          <w:lang w:bidi="ar"/>
        </w:rPr>
        <w:t xml:space="preserve">Y </w:t>
      </w:r>
      <w:r>
        <w:rPr>
          <w:rFonts w:hint="eastAsia" w:cs="宋体"/>
          <w:lang w:bidi="ar"/>
        </w:rPr>
        <w:t>方向同理。二维</w:t>
      </w:r>
      <w:r>
        <w:rPr>
          <w:rFonts w:cs="Times New Roman"/>
          <w:lang w:bidi="ar"/>
        </w:rPr>
        <w:t xml:space="preserve"> RMS </w:t>
      </w:r>
      <w:r>
        <w:rPr>
          <w:rFonts w:hint="eastAsia" w:cs="宋体"/>
          <w:lang w:bidi="ar"/>
        </w:rPr>
        <w:t>半径由两个正交方向的结果合成。</w:t>
      </w:r>
    </w:p>
    <w:p w14:paraId="0F124951">
      <w:pPr>
        <w:pStyle w:val="4"/>
        <w:bidi w:val="0"/>
      </w:pPr>
      <w:bookmarkStart w:id="44" w:name="_Toc18127"/>
      <w:r>
        <w:t xml:space="preserve">6.1.3 </w:t>
      </w:r>
      <w:r>
        <w:rPr>
          <w:rFonts w:hint="eastAsia"/>
        </w:rPr>
        <w:t>实验器材与步骤</w:t>
      </w:r>
      <w:bookmarkEnd w:id="44"/>
    </w:p>
    <w:p w14:paraId="4B93502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实验器材包括</w:t>
      </w:r>
      <w:r>
        <w:rPr>
          <w:rFonts w:cs="Times New Roman"/>
          <w:lang w:bidi="ar"/>
        </w:rPr>
        <w:t xml:space="preserve"> 780 nm </w:t>
      </w:r>
      <w:r>
        <w:rPr>
          <w:rFonts w:hint="eastAsia" w:cs="宋体"/>
          <w:lang w:bidi="ar"/>
        </w:rPr>
        <w:t>激光器、焦距分别为</w:t>
      </w:r>
      <w:r>
        <w:rPr>
          <w:rFonts w:cs="Times New Roman"/>
          <w:lang w:bidi="ar"/>
        </w:rPr>
        <w:t xml:space="preserve"> 100 </w:t>
      </w:r>
      <w:r>
        <w:rPr>
          <w:rFonts w:hint="eastAsia" w:cs="宋体"/>
          <w:lang w:bidi="ar"/>
        </w:rPr>
        <w:t>、</w:t>
      </w:r>
      <w:r>
        <w:rPr>
          <w:rFonts w:cs="Times New Roman"/>
          <w:lang w:bidi="ar"/>
        </w:rPr>
        <w:t>200</w:t>
      </w:r>
      <w:r>
        <w:rPr>
          <w:rFonts w:hint="eastAsia" w:cs="宋体"/>
          <w:lang w:bidi="ar"/>
        </w:rPr>
        <w:t>、</w:t>
      </w:r>
      <w:r>
        <w:rPr>
          <w:rFonts w:cs="Times New Roman"/>
          <w:lang w:bidi="ar"/>
        </w:rPr>
        <w:t xml:space="preserve">500mm </w:t>
      </w:r>
      <w:r>
        <w:rPr>
          <w:rFonts w:hint="eastAsia" w:cs="宋体"/>
          <w:lang w:bidi="ar"/>
        </w:rPr>
        <w:t>的平凸透镜、衰减片、</w:t>
      </w:r>
      <w:r>
        <w:rPr>
          <w:rFonts w:cs="Times New Roman"/>
          <w:lang w:bidi="ar"/>
        </w:rPr>
        <w:t xml:space="preserve">CCD </w:t>
      </w:r>
      <w:r>
        <w:rPr>
          <w:rFonts w:hint="eastAsia" w:cs="宋体"/>
          <w:lang w:bidi="ar"/>
        </w:rPr>
        <w:t>相机、电脑和</w:t>
      </w:r>
      <w:r>
        <w:rPr>
          <w:rFonts w:cs="Times New Roman"/>
          <w:lang w:bidi="ar"/>
        </w:rPr>
        <w:t xml:space="preserve"> ImageJ </w:t>
      </w:r>
      <w:r>
        <w:rPr>
          <w:rFonts w:hint="eastAsia" w:cs="宋体"/>
          <w:lang w:bidi="ar"/>
        </w:rPr>
        <w:t>软件。将反射镜与</w:t>
      </w:r>
      <w:r>
        <w:rPr>
          <w:rFonts w:cs="Times New Roman"/>
          <w:lang w:bidi="ar"/>
        </w:rPr>
        <w:t xml:space="preserve"> CCD </w:t>
      </w:r>
      <w:r>
        <w:rPr>
          <w:rFonts w:hint="eastAsia" w:cs="宋体"/>
          <w:lang w:bidi="ar"/>
        </w:rPr>
        <w:t>之间的距离固定为</w:t>
      </w:r>
      <w:r>
        <w:rPr>
          <w:rFonts w:cs="Times New Roman"/>
          <w:lang w:bidi="ar"/>
        </w:rPr>
        <w:t xml:space="preserve"> 1400 mm</w:t>
      </w:r>
      <w:r>
        <w:rPr>
          <w:rFonts w:hint="eastAsia" w:cs="宋体"/>
          <w:lang w:bidi="ar"/>
        </w:rPr>
        <w:t>，分别将透镜置于距光源不同距离处，调节衰减片使光强处于</w:t>
      </w:r>
      <w:r>
        <w:rPr>
          <w:rFonts w:cs="Times New Roman"/>
          <w:lang w:bidi="ar"/>
        </w:rPr>
        <w:t xml:space="preserve"> CCD </w:t>
      </w:r>
      <w:r>
        <w:rPr>
          <w:rFonts w:hint="eastAsia" w:cs="宋体"/>
          <w:lang w:bidi="ar"/>
        </w:rPr>
        <w:t>合适的响应范围，采集并保存光斑图像，再使用</w:t>
      </w:r>
      <w:r>
        <w:rPr>
          <w:rFonts w:cs="Times New Roman"/>
          <w:lang w:bidi="ar"/>
        </w:rPr>
        <w:t xml:space="preserve"> ImageJ </w:t>
      </w:r>
      <w:r>
        <w:rPr>
          <w:rFonts w:hint="eastAsia" w:cs="宋体"/>
          <w:lang w:bidi="ar"/>
        </w:rPr>
        <w:t>提取像素坐标和灰度值，按照上述公式计算</w:t>
      </w:r>
      <w:r>
        <w:rPr>
          <w:rFonts w:cs="Times New Roman"/>
          <w:lang w:bidi="ar"/>
        </w:rPr>
        <w:t xml:space="preserve"> RMS </w:t>
      </w:r>
      <w:r>
        <w:rPr>
          <w:rFonts w:hint="eastAsia" w:cs="宋体"/>
          <w:lang w:bidi="ar"/>
        </w:rPr>
        <w:t>半径。</w:t>
      </w:r>
    </w:p>
    <w:p w14:paraId="6D7632E4">
      <w:pPr>
        <w:pStyle w:val="4"/>
        <w:bidi w:val="0"/>
      </w:pPr>
      <w:bookmarkStart w:id="45" w:name="_Toc1812"/>
      <w:r>
        <w:t xml:space="preserve">6.1.4 </w:t>
      </w:r>
      <w:r>
        <w:rPr>
          <w:rFonts w:hint="eastAsia"/>
        </w:rPr>
        <w:t>实验结果与仿真对比</w:t>
      </w:r>
      <w:bookmarkEnd w:id="45"/>
    </w:p>
    <w:p w14:paraId="6A8B4F69">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单透镜实验得到的</w:t>
      </w:r>
      <w:r>
        <w:rPr>
          <w:rFonts w:cs="Times New Roman"/>
          <w:lang w:bidi="ar"/>
        </w:rPr>
        <w:t xml:space="preserve"> RMS </w:t>
      </w:r>
      <w:r>
        <w:rPr>
          <w:rFonts w:hint="eastAsia" w:cs="宋体"/>
          <w:lang w:bidi="ar"/>
        </w:rPr>
        <w:t>半径数据见图</w:t>
      </w:r>
      <w:r>
        <w:rPr>
          <w:rFonts w:cs="Times New Roman"/>
          <w:lang w:bidi="ar"/>
        </w:rPr>
        <w:t xml:space="preserve"> 6-1</w:t>
      </w:r>
      <w:r>
        <w:rPr>
          <w:rFonts w:hint="eastAsia" w:cs="宋体"/>
          <w:lang w:bidi="ar"/>
        </w:rPr>
        <w:t>、图</w:t>
      </w:r>
      <w:r>
        <w:rPr>
          <w:rFonts w:cs="Times New Roman"/>
          <w:lang w:bidi="ar"/>
        </w:rPr>
        <w:t>6-2</w:t>
      </w:r>
      <w:r>
        <w:rPr>
          <w:rFonts w:hint="eastAsia" w:cs="宋体"/>
          <w:lang w:bidi="ar"/>
        </w:rPr>
        <w:t>。随着透镜位置变化，实验光斑尺寸呈现与平台计算一致的变化趋势。</w:t>
      </w:r>
    </w:p>
    <w:p w14:paraId="7D724F4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在相同光源、透镜和光路条件下，分别使用本平台和</w:t>
      </w:r>
      <w:r>
        <w:rPr>
          <w:rFonts w:cs="Times New Roman"/>
          <w:lang w:bidi="ar"/>
        </w:rPr>
        <w:t xml:space="preserve"> Zemax </w:t>
      </w:r>
      <w:r>
        <w:rPr>
          <w:rFonts w:hint="eastAsia" w:cs="宋体"/>
          <w:lang w:bidi="ar"/>
        </w:rPr>
        <w:t>进行仿真。实验、平台和</w:t>
      </w:r>
      <w:r>
        <w:rPr>
          <w:rFonts w:cs="Times New Roman"/>
          <w:lang w:bidi="ar"/>
        </w:rPr>
        <w:t xml:space="preserve"> Zemax </w:t>
      </w:r>
      <w:r>
        <w:rPr>
          <w:rFonts w:hint="eastAsia" w:cs="宋体"/>
          <w:lang w:bidi="ar"/>
        </w:rPr>
        <w:t>得到的光斑形态基本一致；定量比较中，平台与实验的峰值误差在</w:t>
      </w:r>
      <w:r>
        <w:rPr>
          <w:rFonts w:cs="Times New Roman"/>
          <w:lang w:bidi="ar"/>
        </w:rPr>
        <w:t xml:space="preserve"> 10% </w:t>
      </w:r>
      <w:r>
        <w:rPr>
          <w:rFonts w:hint="eastAsia" w:cs="宋体"/>
          <w:lang w:bidi="ar"/>
        </w:rPr>
        <w:t>以内，与</w:t>
      </w:r>
      <w:r>
        <w:rPr>
          <w:rFonts w:cs="Times New Roman"/>
          <w:lang w:bidi="ar"/>
        </w:rPr>
        <w:t xml:space="preserve"> Zemax </w:t>
      </w:r>
      <w:r>
        <w:rPr>
          <w:rFonts w:hint="eastAsia" w:cs="宋体"/>
          <w:lang w:bidi="ar"/>
        </w:rPr>
        <w:t>的互验误差小于</w:t>
      </w:r>
      <w:r>
        <w:rPr>
          <w:rFonts w:cs="Times New Roman"/>
          <w:lang w:bidi="ar"/>
        </w:rPr>
        <w:t xml:space="preserve"> 1%</w:t>
      </w:r>
      <w:r>
        <w:rPr>
          <w:rFonts w:hint="eastAsia" w:cs="宋体"/>
          <w:lang w:bidi="ar"/>
        </w:rPr>
        <w:t>。该结果说明平台的光斑传播计算具有较好的可信度。</w:t>
      </w:r>
    </w:p>
    <w:p w14:paraId="2558325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4390A5B3">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pic:cNvPicPr>
                      <a:picLocks noChangeAspect="1"/>
                    </pic:cNvPicPr>
                  </pic:nvPicPr>
                  <pic:blipFill>
                    <a:blip r:embed="rId97"/>
                    <a:stretch>
                      <a:fillRect/>
                    </a:stretch>
                  </pic:blipFill>
                  <pic:spPr>
                    <a:xfrm>
                      <a:off x="0" y="0"/>
                      <a:ext cx="5934075" cy="2914650"/>
                    </a:xfrm>
                    <a:prstGeom prst="rect">
                      <a:avLst/>
                    </a:prstGeom>
                    <a:noFill/>
                    <a:ln>
                      <a:noFill/>
                    </a:ln>
                  </pic:spPr>
                </pic:pic>
              </a:graphicData>
            </a:graphic>
          </wp:inline>
        </w:drawing>
      </w:r>
    </w:p>
    <w:p w14:paraId="1F31994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6-1 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4CD2C73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2914650"/>
            <wp:effectExtent l="0" t="0" r="9525" b="0"/>
            <wp:docPr id="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9"/>
                    <pic:cNvPicPr>
                      <a:picLocks noChangeAspect="1"/>
                    </pic:cNvPicPr>
                  </pic:nvPicPr>
                  <pic:blipFill>
                    <a:blip r:embed="rId98"/>
                    <a:stretch>
                      <a:fillRect/>
                    </a:stretch>
                  </pic:blipFill>
                  <pic:spPr>
                    <a:xfrm>
                      <a:off x="0" y="0"/>
                      <a:ext cx="5934075" cy="2914650"/>
                    </a:xfrm>
                    <a:prstGeom prst="rect">
                      <a:avLst/>
                    </a:prstGeom>
                    <a:noFill/>
                    <a:ln>
                      <a:noFill/>
                    </a:ln>
                  </pic:spPr>
                </pic:pic>
              </a:graphicData>
            </a:graphic>
          </wp:inline>
        </w:drawing>
      </w:r>
    </w:p>
    <w:p w14:paraId="4D312AD9">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6-2 Y</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方向的</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RMS</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半径对比图</w:t>
      </w:r>
    </w:p>
    <w:p w14:paraId="7245A491">
      <w:pPr>
        <w:pStyle w:val="3"/>
        <w:bidi w:val="0"/>
      </w:pPr>
      <w:bookmarkStart w:id="46" w:name="_Toc8392"/>
      <w:r>
        <w:t xml:space="preserve">6.2 </w:t>
      </w:r>
      <w:r>
        <w:rPr>
          <w:rFonts w:hint="eastAsia"/>
        </w:rPr>
        <w:t>实验二：光纤纵向失配下的耦合效率</w:t>
      </w:r>
      <w:bookmarkEnd w:id="46"/>
    </w:p>
    <w:p w14:paraId="74C7316E">
      <w:pPr>
        <w:pStyle w:val="4"/>
        <w:bidi w:val="0"/>
      </w:pPr>
      <w:bookmarkStart w:id="47" w:name="_Toc2132"/>
      <w:r>
        <w:t xml:space="preserve">6.2.1 </w:t>
      </w:r>
      <w:r>
        <w:rPr>
          <w:rFonts w:hint="eastAsia"/>
        </w:rPr>
        <w:t>实验目的</w:t>
      </w:r>
      <w:bookmarkEnd w:id="47"/>
    </w:p>
    <w:p w14:paraId="18C03263">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测量光纤纵向失配条件下的耦合效率变化，并与平台计算结果比较，验证平台对轴向离焦和耦合效率变化趋势的预测能力。</w:t>
      </w:r>
    </w:p>
    <w:p w14:paraId="2059C952">
      <w:pPr>
        <w:pStyle w:val="4"/>
        <w:bidi w:val="0"/>
      </w:pPr>
      <w:bookmarkStart w:id="48" w:name="_Toc10029"/>
      <w:r>
        <w:t xml:space="preserve">6.2.2 </w:t>
      </w:r>
      <w:r>
        <w:rPr>
          <w:rFonts w:hint="eastAsia"/>
        </w:rPr>
        <w:t>实验原理</w:t>
      </w:r>
      <w:bookmarkEnd w:id="48"/>
    </w:p>
    <w:p w14:paraId="2F8D21F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将两个耦合器的光轴保持重合，通过</w:t>
      </w:r>
      <w:r>
        <w:rPr>
          <w:rFonts w:cs="Times New Roman"/>
          <w:lang w:bidi="ar"/>
        </w:rPr>
        <w:t xml:space="preserve"> Z </w:t>
      </w:r>
      <w:r>
        <w:rPr>
          <w:rFonts w:hint="eastAsia" w:cs="宋体"/>
          <w:lang w:bidi="ar"/>
        </w:rPr>
        <w:t>轴平移台改变两者之间的轴向距离，形成纵向失配。最大耦合效率定义为基准最大功率与光源输出功率的比值；某一失配位置的耦合效率定义为该位置功率与基准最大功率的比值。</w:t>
      </w:r>
    </w:p>
    <w:p w14:paraId="545CA5AB">
      <w:pPr>
        <w:pStyle w:val="4"/>
        <w:bidi w:val="0"/>
      </w:pPr>
      <w:bookmarkStart w:id="49" w:name="_Toc12248"/>
      <w:r>
        <w:t xml:space="preserve">6.2.3 </w:t>
      </w:r>
      <w:r>
        <w:rPr>
          <w:rFonts w:hint="eastAsia"/>
        </w:rPr>
        <w:t>实验器材与步骤</w:t>
      </w:r>
      <w:bookmarkEnd w:id="49"/>
    </w:p>
    <w:p w14:paraId="014C8005">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实验采用</w:t>
      </w:r>
      <w:r>
        <w:rPr>
          <w:rFonts w:cs="Times New Roman"/>
          <w:lang w:bidi="ar"/>
        </w:rPr>
        <w:t xml:space="preserve"> ASE </w:t>
      </w:r>
      <w:r>
        <w:rPr>
          <w:rFonts w:hint="eastAsia" w:cs="宋体"/>
          <w:lang w:bidi="ar"/>
        </w:rPr>
        <w:t>宽带光源、可见红光光源、两个对称大光束</w:t>
      </w:r>
      <w:r>
        <w:rPr>
          <w:rFonts w:cs="Times New Roman"/>
          <w:lang w:bidi="ar"/>
        </w:rPr>
        <w:t xml:space="preserve"> DCL </w:t>
      </w:r>
      <w:r>
        <w:rPr>
          <w:rFonts w:hint="eastAsia" w:cs="宋体"/>
          <w:lang w:bidi="ar"/>
        </w:rPr>
        <w:t>耦合器、精密多轴位移台、不同模场直径的单模光纤、功率计和探片。先用红光完成粗对准，再切换</w:t>
      </w:r>
      <w:r>
        <w:rPr>
          <w:rFonts w:cs="Times New Roman"/>
          <w:lang w:bidi="ar"/>
        </w:rPr>
        <w:t xml:space="preserve"> ASE </w:t>
      </w:r>
      <w:r>
        <w:rPr>
          <w:rFonts w:hint="eastAsia" w:cs="宋体"/>
          <w:lang w:bidi="ar"/>
        </w:rPr>
        <w:t>光源精调至最大功率，记录基准功率；随后固定</w:t>
      </w:r>
      <w:r>
        <w:rPr>
          <w:rFonts w:cs="Times New Roman"/>
          <w:lang w:bidi="ar"/>
        </w:rPr>
        <w:t xml:space="preserve"> X</w:t>
      </w:r>
      <w:r>
        <w:rPr>
          <w:rFonts w:hint="eastAsia" w:cs="宋体"/>
          <w:lang w:bidi="ar"/>
        </w:rPr>
        <w:t>、</w:t>
      </w:r>
      <w:r>
        <w:rPr>
          <w:rFonts w:cs="Times New Roman"/>
          <w:lang w:bidi="ar"/>
        </w:rPr>
        <w:t>Y</w:t>
      </w:r>
      <w:r>
        <w:rPr>
          <w:rFonts w:hint="eastAsia" w:cs="宋体"/>
          <w:lang w:bidi="ar"/>
        </w:rPr>
        <w:t>、俯仰和偏摆方向，仅调节</w:t>
      </w:r>
      <w:r>
        <w:rPr>
          <w:rFonts w:cs="Times New Roman"/>
          <w:lang w:bidi="ar"/>
        </w:rPr>
        <w:t xml:space="preserve"> Z </w:t>
      </w:r>
      <w:r>
        <w:rPr>
          <w:rFonts w:hint="eastAsia" w:cs="宋体"/>
          <w:lang w:bidi="ar"/>
        </w:rPr>
        <w:t>轴，从</w:t>
      </w:r>
      <w:r>
        <w:rPr>
          <w:rFonts w:cs="Times New Roman"/>
          <w:lang w:bidi="ar"/>
        </w:rPr>
        <w:t xml:space="preserve"> 0 mm </w:t>
      </w:r>
      <w:r>
        <w:rPr>
          <w:rFonts w:hint="eastAsia" w:cs="宋体"/>
          <w:lang w:bidi="ar"/>
        </w:rPr>
        <w:t>开始按</w:t>
      </w:r>
      <w:r>
        <w:rPr>
          <w:rFonts w:cs="Times New Roman"/>
          <w:lang w:bidi="ar"/>
        </w:rPr>
        <w:t xml:space="preserve"> </w:t>
      </w:r>
      <w:r>
        <w:rPr>
          <w:rFonts w:hint="eastAsia" w:cs="Times New Roman"/>
          <w:lang w:bidi="ar"/>
        </w:rPr>
        <w:t>0.15</w:t>
      </w:r>
      <w:r>
        <w:rPr>
          <w:rFonts w:cs="Times New Roman"/>
          <w:lang w:bidi="ar"/>
        </w:rPr>
        <w:t xml:space="preserve"> mm </w:t>
      </w:r>
      <w:r>
        <w:rPr>
          <w:rFonts w:hint="eastAsia" w:cs="宋体"/>
          <w:lang w:bidi="ar"/>
        </w:rPr>
        <w:t>间隔记录至</w:t>
      </w:r>
      <w:r>
        <w:rPr>
          <w:rFonts w:cs="Times New Roman"/>
          <w:lang w:bidi="ar"/>
        </w:rPr>
        <w:t xml:space="preserve"> 1</w:t>
      </w:r>
      <w:r>
        <w:rPr>
          <w:rFonts w:hint="eastAsia" w:cs="Times New Roman"/>
          <w:lang w:bidi="ar"/>
        </w:rPr>
        <w:t>.5</w:t>
      </w:r>
      <w:r>
        <w:rPr>
          <w:rFonts w:cs="Times New Roman"/>
          <w:lang w:bidi="ar"/>
        </w:rPr>
        <w:t xml:space="preserve"> mm </w:t>
      </w:r>
      <w:r>
        <w:rPr>
          <w:rFonts w:hint="eastAsia" w:cs="宋体"/>
          <w:lang w:bidi="ar"/>
        </w:rPr>
        <w:t>的稳定功率，并更换不同模场直径光纤重复测量。</w:t>
      </w:r>
    </w:p>
    <w:p w14:paraId="6ED7ECB2">
      <w:pPr>
        <w:pStyle w:val="4"/>
        <w:bidi w:val="0"/>
      </w:pPr>
      <w:bookmarkStart w:id="50" w:name="_Toc29987"/>
      <w:r>
        <w:t xml:space="preserve">6.2.4 </w:t>
      </w:r>
      <w:r>
        <w:rPr>
          <w:rFonts w:hint="eastAsia"/>
        </w:rPr>
        <w:t>实验结果</w:t>
      </w:r>
      <w:bookmarkEnd w:id="50"/>
    </w:p>
    <w:p w14:paraId="6CA0614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不同模场直径光纤的耦合效率随纵向失配变化的曲线与平台结果进行比较，结果如图</w:t>
      </w:r>
      <w:r>
        <w:rPr>
          <w:color w:val="000000"/>
          <w:kern w:val="2"/>
          <w:lang w:bidi="ar"/>
        </w:rPr>
        <w:t>6-</w:t>
      </w:r>
      <w:r>
        <w:rPr>
          <w:rFonts w:hint="eastAsia"/>
          <w:color w:val="000000"/>
          <w:kern w:val="2"/>
          <w:lang w:val="en-US" w:eastAsia="zh-CN" w:bidi="ar"/>
        </w:rPr>
        <w:t>3</w:t>
      </w:r>
      <w:r>
        <w:rPr>
          <w:rFonts w:hint="eastAsia" w:cs="宋体"/>
          <w:lang w:bidi="ar"/>
        </w:rPr>
        <w:t>和图</w:t>
      </w:r>
      <w:r>
        <w:rPr>
          <w:color w:val="000000"/>
          <w:kern w:val="2"/>
          <w:lang w:bidi="ar"/>
        </w:rPr>
        <w:t>6-</w:t>
      </w:r>
      <w:r>
        <w:rPr>
          <w:rFonts w:hint="eastAsia"/>
          <w:color w:val="000000"/>
          <w:kern w:val="2"/>
          <w:lang w:val="en-US" w:eastAsia="zh-CN" w:bidi="ar"/>
        </w:rPr>
        <w:t>4</w:t>
      </w:r>
      <w:r>
        <w:rPr>
          <w:rFonts w:hint="eastAsia" w:cs="宋体"/>
          <w:lang w:bidi="ar"/>
        </w:rPr>
        <w:t>所示。实验结果与平台计算在变化趋势上基本一致，说明平台能够反映轴向离焦引起的模式匹配变化。</w:t>
      </w:r>
    </w:p>
    <w:p w14:paraId="5FC196E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381625" cy="3648075"/>
            <wp:effectExtent l="0" t="0" r="9525" b="9525"/>
            <wp:docPr id="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pic:cNvPicPr>
                      <a:picLocks noChangeAspect="1"/>
                    </pic:cNvPicPr>
                  </pic:nvPicPr>
                  <pic:blipFill>
                    <a:blip r:embed="rId99"/>
                    <a:stretch>
                      <a:fillRect/>
                    </a:stretch>
                  </pic:blipFill>
                  <pic:spPr>
                    <a:xfrm>
                      <a:off x="0" y="0"/>
                      <a:ext cx="5381625" cy="3648075"/>
                    </a:xfrm>
                    <a:prstGeom prst="rect">
                      <a:avLst/>
                    </a:prstGeom>
                    <a:noFill/>
                    <a:ln>
                      <a:noFill/>
                    </a:ln>
                  </pic:spPr>
                </pic:pic>
              </a:graphicData>
            </a:graphic>
          </wp:inline>
        </w:drawing>
      </w:r>
    </w:p>
    <w:p w14:paraId="20C7AE6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6-3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MFD=20μm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2779A67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4695825" cy="3181350"/>
            <wp:effectExtent l="0" t="0" r="9525" b="0"/>
            <wp:docPr id="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1"/>
                    <pic:cNvPicPr>
                      <a:picLocks noChangeAspect="1"/>
                    </pic:cNvPicPr>
                  </pic:nvPicPr>
                  <pic:blipFill>
                    <a:blip r:embed="rId100"/>
                    <a:stretch>
                      <a:fillRect/>
                    </a:stretch>
                  </pic:blipFill>
                  <pic:spPr>
                    <a:xfrm>
                      <a:off x="0" y="0"/>
                      <a:ext cx="4695825" cy="3181350"/>
                    </a:xfrm>
                    <a:prstGeom prst="rect">
                      <a:avLst/>
                    </a:prstGeom>
                    <a:noFill/>
                    <a:ln>
                      <a:noFill/>
                    </a:ln>
                  </pic:spPr>
                </pic:pic>
              </a:graphicData>
            </a:graphic>
          </wp:inline>
        </w:drawing>
      </w:r>
    </w:p>
    <w:p w14:paraId="00F4EECB">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6-4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光纤</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MFD=28μm</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时的实验与平台效率</w:t>
      </w:r>
    </w:p>
    <w:p w14:paraId="4F798C01">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p>
    <w:p w14:paraId="04FCED4B">
      <w:pPr>
        <w:pStyle w:val="3"/>
        <w:bidi w:val="0"/>
      </w:pPr>
      <w:bookmarkStart w:id="51" w:name="_Toc6799"/>
      <w:r>
        <w:t xml:space="preserve">6.3 </w:t>
      </w:r>
      <w:r>
        <w:rPr>
          <w:rFonts w:hint="eastAsia"/>
        </w:rPr>
        <w:t>实验三：光斑分析仪测量光斑</w:t>
      </w:r>
      <w:bookmarkEnd w:id="51"/>
    </w:p>
    <w:p w14:paraId="7627F68A">
      <w:pPr>
        <w:pStyle w:val="4"/>
        <w:bidi w:val="0"/>
      </w:pPr>
      <w:bookmarkStart w:id="52" w:name="_Toc20689"/>
      <w:r>
        <w:t xml:space="preserve">6.3.1 </w:t>
      </w:r>
      <w:r>
        <w:rPr>
          <w:rFonts w:hint="eastAsia"/>
        </w:rPr>
        <w:t>实验目的</w:t>
      </w:r>
      <w:bookmarkEnd w:id="52"/>
    </w:p>
    <w:p w14:paraId="7629F0FC">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使用光斑分析仪替代</w:t>
      </w:r>
      <w:r>
        <w:rPr>
          <w:rFonts w:cs="Times New Roman"/>
          <w:lang w:bidi="ar"/>
        </w:rPr>
        <w:t xml:space="preserve"> CCD</w:t>
      </w:r>
      <w:r>
        <w:rPr>
          <w:rFonts w:hint="eastAsia" w:cs="宋体"/>
          <w:lang w:bidi="ar"/>
        </w:rPr>
        <w:t>，测量光斑形态和尺寸，并与</w:t>
      </w:r>
      <w:r>
        <w:rPr>
          <w:rFonts w:cs="Times New Roman"/>
          <w:lang w:bidi="ar"/>
        </w:rPr>
        <w:t xml:space="preserve"> CCD </w:t>
      </w:r>
      <w:r>
        <w:rPr>
          <w:rFonts w:hint="eastAsia" w:cs="宋体"/>
          <w:lang w:bidi="ar"/>
        </w:rPr>
        <w:t>实验及平台仿真结果进行交叉比较。</w:t>
      </w:r>
    </w:p>
    <w:p w14:paraId="420EE045">
      <w:pPr>
        <w:pStyle w:val="4"/>
        <w:bidi w:val="0"/>
      </w:pPr>
      <w:bookmarkStart w:id="53" w:name="_Toc26416"/>
      <w:r>
        <w:t xml:space="preserve">6.3.2 </w:t>
      </w:r>
      <w:r>
        <w:rPr>
          <w:rFonts w:hint="eastAsia"/>
        </w:rPr>
        <w:t>实验过程与结果</w:t>
      </w:r>
      <w:bookmarkEnd w:id="53"/>
    </w:p>
    <w:p w14:paraId="4FBE801F">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实验光路与实验一保持一致，仅将</w:t>
      </w:r>
      <w:r>
        <w:rPr>
          <w:rFonts w:cs="Times New Roman"/>
          <w:lang w:bidi="ar"/>
        </w:rPr>
        <w:t xml:space="preserve"> CCD </w:t>
      </w:r>
      <w:r>
        <w:rPr>
          <w:rFonts w:hint="eastAsia" w:cs="宋体"/>
          <w:lang w:bidi="ar"/>
        </w:rPr>
        <w:t>替换为光斑分析仪。</w:t>
      </w:r>
    </w:p>
    <w:p w14:paraId="4AEAF38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rPr>
          <w:rFonts w:hint="eastAsia"/>
        </w:rPr>
      </w:pPr>
      <w:r>
        <w:rPr>
          <w:rFonts w:hint="eastAsia" w:cs="宋体"/>
          <w:color w:val="000000"/>
          <w:kern w:val="2"/>
          <w:lang w:bidi="ar"/>
        </w:rPr>
        <w:t>具体的实验数据如图表</w:t>
      </w:r>
      <w:r>
        <w:rPr>
          <w:color w:val="000000"/>
          <w:kern w:val="2"/>
          <w:lang w:bidi="ar"/>
        </w:rPr>
        <w:t>6-1</w:t>
      </w:r>
      <w:r>
        <w:rPr>
          <w:rFonts w:hint="eastAsia" w:cs="宋体"/>
          <w:color w:val="000000"/>
          <w:kern w:val="2"/>
          <w:lang w:bidi="ar"/>
        </w:rPr>
        <w:t>所示。</w:t>
      </w:r>
    </w:p>
    <w:p w14:paraId="328D22B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光斑分析仪直接输出光束宽度、峰值位置和强度中心等参数，避免</w:t>
      </w:r>
      <w:r>
        <w:rPr>
          <w:rFonts w:cs="Times New Roman"/>
          <w:lang w:bidi="ar"/>
        </w:rPr>
        <w:t xml:space="preserve"> CCD </w:t>
      </w:r>
      <w:r>
        <w:rPr>
          <w:rFonts w:hint="eastAsia" w:cs="宋体"/>
          <w:lang w:bidi="ar"/>
        </w:rPr>
        <w:t>像素饱和及衰减片引入的部分误差。光斑形态如图</w:t>
      </w:r>
      <w:r>
        <w:rPr>
          <w:color w:val="000000"/>
          <w:kern w:val="2"/>
          <w:lang w:bidi="ar"/>
        </w:rPr>
        <w:t>6-</w:t>
      </w:r>
      <w:r>
        <w:rPr>
          <w:rFonts w:hint="eastAsia"/>
          <w:color w:val="000000"/>
          <w:kern w:val="2"/>
          <w:lang w:val="en-US" w:eastAsia="zh-CN" w:bidi="ar"/>
        </w:rPr>
        <w:t>5</w:t>
      </w:r>
      <w:r>
        <w:rPr>
          <w:rFonts w:hint="eastAsia" w:cs="宋体"/>
          <w:lang w:bidi="ar"/>
        </w:rPr>
        <w:t>、图</w:t>
      </w:r>
      <w:r>
        <w:rPr>
          <w:color w:val="000000"/>
          <w:kern w:val="2"/>
          <w:lang w:bidi="ar"/>
        </w:rPr>
        <w:t>6-</w:t>
      </w:r>
      <w:r>
        <w:rPr>
          <w:rFonts w:hint="eastAsia"/>
          <w:color w:val="000000"/>
          <w:kern w:val="2"/>
          <w:lang w:val="en-US" w:eastAsia="zh-CN" w:bidi="ar"/>
        </w:rPr>
        <w:t>6</w:t>
      </w:r>
      <w:r>
        <w:rPr>
          <w:rFonts w:hint="eastAsia" w:cs="宋体"/>
          <w:lang w:bidi="ar"/>
        </w:rPr>
        <w:t>、图</w:t>
      </w:r>
      <w:r>
        <w:rPr>
          <w:color w:val="000000"/>
          <w:kern w:val="2"/>
          <w:lang w:bidi="ar"/>
        </w:rPr>
        <w:t>6-</w:t>
      </w:r>
      <w:r>
        <w:rPr>
          <w:rFonts w:hint="eastAsia"/>
          <w:color w:val="000000"/>
          <w:kern w:val="2"/>
          <w:lang w:val="en-US" w:eastAsia="zh-CN" w:bidi="ar"/>
        </w:rPr>
        <w:t>7</w:t>
      </w:r>
      <w:r>
        <w:rPr>
          <w:rFonts w:hint="eastAsia" w:cs="宋体"/>
          <w:lang w:bidi="ar"/>
        </w:rPr>
        <w:t>所示，实验、</w:t>
      </w:r>
      <w:r>
        <w:rPr>
          <w:rFonts w:cs="Times New Roman"/>
          <w:lang w:bidi="ar"/>
        </w:rPr>
        <w:t>Zemax</w:t>
      </w:r>
      <w:r>
        <w:rPr>
          <w:rFonts w:hint="eastAsia" w:cs="宋体"/>
          <w:lang w:bidi="ar"/>
        </w:rPr>
        <w:t>和平台光束宽度结果如图</w:t>
      </w:r>
      <w:r>
        <w:rPr>
          <w:color w:val="000000"/>
          <w:kern w:val="2"/>
          <w:lang w:bidi="ar"/>
        </w:rPr>
        <w:t>6-</w:t>
      </w:r>
      <w:r>
        <w:rPr>
          <w:rFonts w:hint="eastAsia"/>
          <w:color w:val="000000"/>
          <w:kern w:val="2"/>
          <w:lang w:val="en-US" w:eastAsia="zh-CN" w:bidi="ar"/>
        </w:rPr>
        <w:t>8</w:t>
      </w:r>
      <w:r>
        <w:rPr>
          <w:rFonts w:hint="eastAsia" w:cs="宋体"/>
          <w:lang w:bidi="ar"/>
        </w:rPr>
        <w:t>所示。测量结果显示，光斑形态和尺寸变化与实验结果基本一致，并与平台仿真趋势吻合。</w:t>
      </w:r>
    </w:p>
    <w:p w14:paraId="6B798172">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textAlignment w:val="auto"/>
      </w:pPr>
      <w:r>
        <w:rPr>
          <w:color w:val="000000"/>
          <w:kern w:val="2"/>
          <w:lang w:bidi="ar"/>
        </w:rPr>
        <w:drawing>
          <wp:inline distT="0" distB="0" distL="114300" distR="114300">
            <wp:extent cx="5934075" cy="3181350"/>
            <wp:effectExtent l="0" t="0" r="9525" b="0"/>
            <wp:docPr id="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1"/>
                    <pic:cNvPicPr>
                      <a:picLocks noChangeAspect="1"/>
                    </pic:cNvPicPr>
                  </pic:nvPicPr>
                  <pic:blipFill>
                    <a:blip r:embed="rId101"/>
                    <a:stretch>
                      <a:fillRect/>
                    </a:stretch>
                  </pic:blipFill>
                  <pic:spPr>
                    <a:xfrm>
                      <a:off x="0" y="0"/>
                      <a:ext cx="5934075" cy="3181350"/>
                    </a:xfrm>
                    <a:prstGeom prst="rect">
                      <a:avLst/>
                    </a:prstGeom>
                    <a:noFill/>
                    <a:ln>
                      <a:noFill/>
                    </a:ln>
                  </pic:spPr>
                </pic:pic>
              </a:graphicData>
            </a:graphic>
          </wp:inline>
        </w:drawing>
      </w:r>
    </w:p>
    <w:p w14:paraId="2F67F0BF">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6-5</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光斑分析仪光斑结果图</w:t>
      </w:r>
    </w:p>
    <w:p w14:paraId="418B8C7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2686050" cy="2372995"/>
            <wp:effectExtent l="0" t="0" r="0" b="8255"/>
            <wp:docPr id="1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2"/>
                    <pic:cNvPicPr>
                      <a:picLocks noChangeAspect="1"/>
                    </pic:cNvPicPr>
                  </pic:nvPicPr>
                  <pic:blipFill>
                    <a:blip r:embed="rId102"/>
                    <a:stretch>
                      <a:fillRect/>
                    </a:stretch>
                  </pic:blipFill>
                  <pic:spPr>
                    <a:xfrm>
                      <a:off x="0" y="0"/>
                      <a:ext cx="2689080" cy="2376023"/>
                    </a:xfrm>
                    <a:prstGeom prst="rect">
                      <a:avLst/>
                    </a:prstGeom>
                    <a:noFill/>
                    <a:ln>
                      <a:noFill/>
                    </a:ln>
                  </pic:spPr>
                </pic:pic>
              </a:graphicData>
            </a:graphic>
          </wp:inline>
        </w:drawing>
      </w:r>
    </w:p>
    <w:p w14:paraId="21981968">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6-6 Zemax</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模拟光斑</w:t>
      </w:r>
    </w:p>
    <w:p w14:paraId="63136765">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80" w:firstLineChars="200"/>
        <w:jc w:val="center"/>
        <w:textAlignment w:val="auto"/>
      </w:pPr>
      <w:r>
        <w:rPr>
          <w:color w:val="000000"/>
          <w:kern w:val="2"/>
          <w:lang w:bidi="ar"/>
        </w:rPr>
        <w:drawing>
          <wp:inline distT="0" distB="0" distL="114300" distR="114300">
            <wp:extent cx="3533775" cy="3250565"/>
            <wp:effectExtent l="0" t="0" r="0" b="698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03"/>
                    <a:stretch>
                      <a:fillRect/>
                    </a:stretch>
                  </pic:blipFill>
                  <pic:spPr>
                    <a:xfrm>
                      <a:off x="0" y="0"/>
                      <a:ext cx="3536573" cy="3253194"/>
                    </a:xfrm>
                    <a:prstGeom prst="rect">
                      <a:avLst/>
                    </a:prstGeom>
                    <a:noFill/>
                    <a:ln>
                      <a:noFill/>
                    </a:ln>
                  </pic:spPr>
                </pic:pic>
              </a:graphicData>
            </a:graphic>
          </wp:inline>
        </w:drawing>
      </w:r>
    </w:p>
    <w:p w14:paraId="7A728BDE">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6-7</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 xml:space="preserve"> 平台模拟光斑</w:t>
      </w:r>
    </w:p>
    <w:p w14:paraId="176CBF5C">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drawing>
          <wp:inline distT="0" distB="0" distL="114300" distR="114300">
            <wp:extent cx="5524500" cy="3780155"/>
            <wp:effectExtent l="0" t="0" r="0" b="0"/>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104"/>
                    <a:stretch>
                      <a:fillRect/>
                    </a:stretch>
                  </pic:blipFill>
                  <pic:spPr>
                    <a:xfrm>
                      <a:off x="0" y="0"/>
                      <a:ext cx="5539867" cy="3790903"/>
                    </a:xfrm>
                    <a:prstGeom prst="rect">
                      <a:avLst/>
                    </a:prstGeom>
                    <a:noFill/>
                    <a:ln>
                      <a:noFill/>
                    </a:ln>
                  </pic:spPr>
                </pic:pic>
              </a:graphicData>
            </a:graphic>
          </wp:inline>
        </w:drawing>
      </w:r>
    </w:p>
    <w:p w14:paraId="41F5DBB4">
      <w:pPr>
        <w:pStyle w:val="14"/>
        <w:pageBreakBefore w:val="0"/>
        <w:kinsoku/>
        <w:wordWrap/>
        <w:overflowPunct/>
        <w:topLinePunct w:val="0"/>
        <w:autoSpaceDE/>
        <w:autoSpaceDN/>
        <w:bidi w:val="0"/>
        <w:adjustRightInd/>
        <w:snapToGrid/>
        <w:spacing w:beforeAutospacing="0" w:after="120" w:afterAutospacing="0" w:line="480" w:lineRule="auto"/>
        <w:ind w:left="0" w:leftChars="0" w:firstLine="420" w:firstLineChars="200"/>
        <w:jc w:val="center"/>
        <w:textAlignment w:val="auto"/>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pP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图</w:t>
      </w:r>
      <w:r>
        <w:rPr>
          <w:rFonts w:hint="default" w:ascii="Times New Roman" w:hAnsi="Times New Roman" w:eastAsia="宋体" w:cs="Times New Roman"/>
          <w:b w:val="0"/>
          <w:bCs/>
          <w:color w:val="000000" w:themeColor="text1"/>
          <w:kern w:val="2"/>
          <w:sz w:val="21"/>
          <w:szCs w:val="21"/>
          <w:lang w:val="en-US" w:eastAsia="zh-CN" w:bidi="ar"/>
          <w14:textFill>
            <w14:solidFill>
              <w14:schemeClr w14:val="tx1"/>
            </w14:solidFill>
          </w14:textFill>
        </w:rPr>
        <w:t xml:space="preserve">6-8 </w:t>
      </w:r>
      <w:r>
        <w:rPr>
          <w:rFonts w:hint="eastAsia" w:ascii="宋体" w:hAnsi="宋体" w:eastAsia="宋体" w:cs="Times New Roman"/>
          <w:b w:val="0"/>
          <w:bCs/>
          <w:color w:val="000000" w:themeColor="text1"/>
          <w:kern w:val="2"/>
          <w:sz w:val="21"/>
          <w:szCs w:val="21"/>
          <w:lang w:val="en-US" w:eastAsia="zh-CN" w:bidi="ar"/>
          <w14:textFill>
            <w14:solidFill>
              <w14:schemeClr w14:val="tx1"/>
            </w14:solidFill>
          </w14:textFill>
        </w:rPr>
        <w:t>不同透镜组下光斑尺寸对比图</w:t>
      </w:r>
    </w:p>
    <w:p w14:paraId="0FFA5379">
      <w:pPr>
        <w:pStyle w:val="3"/>
        <w:bidi w:val="0"/>
      </w:pPr>
      <w:bookmarkStart w:id="54" w:name="_Toc12945"/>
      <w:r>
        <w:t>6.</w:t>
      </w:r>
      <w:r>
        <w:rPr>
          <w:rFonts w:hint="eastAsia"/>
        </w:rPr>
        <w:t>4</w:t>
      </w:r>
      <w:r>
        <w:t xml:space="preserve"> </w:t>
      </w:r>
      <w:r>
        <w:rPr>
          <w:rFonts w:hint="eastAsia"/>
        </w:rPr>
        <w:t>实验误差分析</w:t>
      </w:r>
      <w:bookmarkEnd w:id="54"/>
    </w:p>
    <w:p w14:paraId="1160FC96">
      <w:pPr>
        <w:pageBreakBefore w:val="0"/>
        <w:kinsoku/>
        <w:wordWrap/>
        <w:overflowPunct/>
        <w:topLinePunct w:val="0"/>
        <w:autoSpaceDE/>
        <w:autoSpaceDN/>
        <w:bidi w:val="0"/>
        <w:adjustRightInd/>
        <w:snapToGrid/>
        <w:ind w:left="0" w:leftChars="0" w:firstLine="480" w:firstLineChars="200"/>
        <w:textAlignment w:val="auto"/>
      </w:pPr>
      <w:r>
        <w:rPr>
          <w:rFonts w:hint="eastAsia" w:cs="宋体"/>
          <w:lang w:bidi="ar"/>
        </w:rPr>
        <w:t>平台与实验之间的差异主要来自机械对准误差、图像处理误差和环境影响。机械对准误差包括位移台精度、透镜安装倾斜和光纤端面位置偏差；图像处理误差包括</w:t>
      </w:r>
      <w:r>
        <w:rPr>
          <w:rFonts w:cs="Times New Roman"/>
          <w:lang w:bidi="ar"/>
        </w:rPr>
        <w:t xml:space="preserve"> CCD </w:t>
      </w:r>
      <w:r>
        <w:rPr>
          <w:rFonts w:hint="eastAsia" w:cs="宋体"/>
          <w:lang w:bidi="ar"/>
        </w:rPr>
        <w:t>背景噪声、灰度非线性、像素饱和以及质心计算截断；环境影响包括激光功率波动、温度漂移和空气扰动。上述因素会使实验结果与理想仿真存在差异，因此实验结果主要用于验证平台计算趋势和数量级的合理性。</w:t>
      </w:r>
    </w:p>
    <w:p w14:paraId="50C6BFBD">
      <w:pPr>
        <w:pageBreakBefore w:val="0"/>
        <w:kinsoku/>
        <w:wordWrap/>
        <w:overflowPunct/>
        <w:topLinePunct w:val="0"/>
        <w:autoSpaceDE/>
        <w:autoSpaceDN/>
        <w:bidi w:val="0"/>
        <w:adjustRightInd/>
        <w:snapToGrid/>
        <w:ind w:left="0" w:leftChars="0" w:firstLine="480" w:firstLineChars="200"/>
        <w:textAlignment w:val="auto"/>
        <w:rPr>
          <w:rFonts w:cs="宋体"/>
          <w:lang w:bidi="ar"/>
        </w:rPr>
      </w:pPr>
      <w:r>
        <w:rPr>
          <w:rFonts w:hint="eastAsia" w:cs="宋体"/>
          <w:lang w:bidi="ar"/>
        </w:rPr>
        <w:t>综合三组实验，平台能够较好地复现单透镜光斑尺寸变化和光纤轴向失配下的耦合效率变化趋势；与</w:t>
      </w:r>
      <w:r>
        <w:rPr>
          <w:rFonts w:cs="Times New Roman"/>
          <w:lang w:bidi="ar"/>
        </w:rPr>
        <w:t xml:space="preserve"> Zemax </w:t>
      </w:r>
      <w:r>
        <w:rPr>
          <w:rFonts w:hint="eastAsia" w:cs="宋体"/>
          <w:lang w:bidi="ar"/>
        </w:rPr>
        <w:t>的互验结果进一步说明平台物理计算链路具有可比性。需要强调的是，曲率半径和厚度的参数规律仍主要由</w:t>
      </w:r>
      <w:r>
        <w:rPr>
          <w:rFonts w:cs="Times New Roman"/>
          <w:lang w:bidi="ar"/>
        </w:rPr>
        <w:t xml:space="preserve"> ABCD/q </w:t>
      </w:r>
      <w:r>
        <w:rPr>
          <w:rFonts w:hint="eastAsia" w:cs="宋体"/>
          <w:lang w:bidi="ar"/>
        </w:rPr>
        <w:t>理论、正式仿真、参数扫描和机器学习分析获得，实验部分承担的是对基础光学仿真和耦合效率计算链路的独立验证。</w:t>
      </w:r>
    </w:p>
    <w:p w14:paraId="7D83E0CF">
      <w:pPr>
        <w:pStyle w:val="3"/>
        <w:bidi w:val="0"/>
      </w:pPr>
      <w:r>
        <w:rPr>
          <w:rFonts w:hint="eastAsia"/>
        </w:rPr>
        <w:t>6.5 仿真对比</w:t>
      </w:r>
    </w:p>
    <w:p w14:paraId="4803CD12">
      <w:pPr>
        <w:pStyle w:val="4"/>
        <w:bidi w:val="0"/>
      </w:pPr>
      <w:r>
        <w:rPr>
          <w:rFonts w:hint="eastAsia"/>
        </w:rPr>
        <w:t>6.5.1 平台仿真结果</w:t>
      </w:r>
    </w:p>
    <w:p w14:paraId="221B04C6">
      <w:pPr>
        <w:keepNext w:val="0"/>
        <w:keepLines w:val="0"/>
        <w:pageBreakBefore w:val="0"/>
        <w:widowControl w:val="0"/>
        <w:kinsoku/>
        <w:wordWrap/>
        <w:overflowPunct/>
        <w:topLinePunct w:val="0"/>
        <w:autoSpaceDE/>
        <w:autoSpaceDN/>
        <w:bidi w:val="0"/>
        <w:adjustRightInd/>
        <w:snapToGrid/>
        <w:ind w:left="0" w:leftChars="0" w:firstLine="720" w:firstLineChars="300"/>
        <w:textAlignment w:val="auto"/>
        <w:rPr>
          <w:lang w:bidi="ar"/>
        </w:rPr>
      </w:pPr>
      <w:r>
        <w:rPr>
          <w:lang w:bidi="ar"/>
        </w:rPr>
        <w:t>波长：780 nm束腰半径：X = 706.9 μm，Y = 883.8 μm</w:t>
      </w:r>
      <w:r>
        <w:rPr>
          <w:rFonts w:hint="eastAsia"/>
          <w:lang w:val="en-US" w:eastAsia="zh-CN" w:bidi="ar"/>
        </w:rPr>
        <w:t>,</w:t>
      </w:r>
      <w:r>
        <w:rPr>
          <w:lang w:bidi="ar"/>
        </w:rPr>
        <w:t>束腰位置：X = −966.8 mm，Y = −542.4 mm</w:t>
      </w:r>
      <w:r>
        <w:rPr>
          <w:rFonts w:hint="eastAsia"/>
          <w:lang w:val="en-US" w:eastAsia="zh-CN" w:bidi="ar"/>
        </w:rPr>
        <w:t>,</w:t>
      </w:r>
      <w:r>
        <w:rPr>
          <w:lang w:bidi="ar"/>
        </w:rPr>
        <w:t>光束质量：M²ₓ = 1.055，M²ᵧ = 1.562</w:t>
      </w:r>
      <w:r>
        <w:rPr>
          <w:rFonts w:hint="eastAsia"/>
          <w:lang w:val="en-US" w:eastAsia="zh-CN" w:bidi="ar"/>
        </w:rPr>
        <w:t>,</w:t>
      </w:r>
      <w:r>
        <w:rPr>
          <w:lang w:bidi="ar"/>
        </w:rPr>
        <w:t>发散半角对应 NA：X = 0.0003705，Y = 0.0004388</w:t>
      </w:r>
    </w:p>
    <w:p w14:paraId="47546AC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lang w:bidi="ar"/>
        </w:rPr>
      </w:pPr>
      <w:r>
        <w:rPr>
          <w:lang w:bidi="ar"/>
        </w:rPr>
        <w:t>光纤采用 PM780-HP 类工程参数：模场直径约 5.3 μm、NA = 0.12、芯径约 4.5 μm。厂家资料给出的 PM780-HP NA 为 0.12，模场直径约为 5.3 μm</w:t>
      </w:r>
    </w:p>
    <w:p w14:paraId="606EA03D">
      <w:pPr>
        <w:pageBreakBefore w:val="0"/>
        <w:kinsoku/>
        <w:wordWrap/>
        <w:overflowPunct/>
        <w:topLinePunct w:val="0"/>
        <w:autoSpaceDE/>
        <w:autoSpaceDN/>
        <w:bidi w:val="0"/>
        <w:adjustRightInd/>
        <w:snapToGrid/>
        <w:ind w:left="0" w:leftChars="0" w:firstLine="480" w:firstLineChars="200"/>
        <w:textAlignment w:val="auto"/>
        <w:rPr>
          <w:lang w:bidi="ar"/>
        </w:rPr>
      </w:pPr>
      <w:r>
        <w:rPr>
          <w:rFonts w:hint="eastAsia"/>
          <w:lang w:bidi="ar"/>
        </w:rPr>
        <w:t>改变四透镜的每个面前表面曲率半径和透镜厚度，分别使用Zemax与平台进行仿真，所得结果如图</w:t>
      </w:r>
      <w:r>
        <w:rPr>
          <w:color w:val="000000"/>
          <w:kern w:val="2"/>
          <w:lang w:bidi="ar"/>
        </w:rPr>
        <w:t>6-</w:t>
      </w:r>
      <w:r>
        <w:rPr>
          <w:rFonts w:hint="eastAsia"/>
          <w:color w:val="000000"/>
          <w:kern w:val="2"/>
          <w:lang w:val="en-US" w:eastAsia="zh-CN" w:bidi="ar"/>
        </w:rPr>
        <w:t>9</w:t>
      </w:r>
      <w:r>
        <w:rPr>
          <w:rFonts w:hint="eastAsia"/>
          <w:lang w:bidi="ar"/>
        </w:rPr>
        <w:t>所示。</w:t>
      </w:r>
    </w:p>
    <w:p w14:paraId="43E67F34">
      <w:pPr>
        <w:rPr>
          <w:lang w:bidi="ar"/>
        </w:rPr>
      </w:pPr>
      <w:r>
        <w:drawing>
          <wp:inline distT="0" distB="0" distL="0" distR="0">
            <wp:extent cx="4743450" cy="4784090"/>
            <wp:effectExtent l="0" t="0" r="0" b="0"/>
            <wp:docPr id="2003904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4049" name="图片 1"/>
                    <pic:cNvPicPr>
                      <a:picLocks noChangeAspect="1"/>
                    </pic:cNvPicPr>
                  </pic:nvPicPr>
                  <pic:blipFill>
                    <a:blip r:embed="rId105"/>
                    <a:stretch>
                      <a:fillRect/>
                    </a:stretch>
                  </pic:blipFill>
                  <pic:spPr>
                    <a:xfrm>
                      <a:off x="0" y="0"/>
                      <a:ext cx="4745277" cy="4786364"/>
                    </a:xfrm>
                    <a:prstGeom prst="rect">
                      <a:avLst/>
                    </a:prstGeom>
                  </pic:spPr>
                </pic:pic>
              </a:graphicData>
            </a:graphic>
          </wp:inline>
        </w:drawing>
      </w:r>
    </w:p>
    <w:p w14:paraId="4DF8E3F4">
      <w:pPr>
        <w:jc w:val="center"/>
        <w:rPr>
          <w:rFonts w:hint="eastAsia" w:ascii="宋体" w:hAnsi="宋体" w:eastAsia="宋体" w:cs="宋体"/>
          <w:sz w:val="21"/>
          <w:szCs w:val="21"/>
          <w:lang w:bidi="ar"/>
        </w:rPr>
      </w:pPr>
      <w:r>
        <w:rPr>
          <w:rFonts w:hint="eastAsia" w:ascii="宋体" w:hAnsi="宋体" w:eastAsia="宋体" w:cs="宋体"/>
          <w:sz w:val="21"/>
          <w:szCs w:val="21"/>
          <w:lang w:bidi="ar"/>
        </w:rPr>
        <w:t>图</w:t>
      </w:r>
      <w:r>
        <w:rPr>
          <w:rFonts w:hint="default" w:ascii="Times New Roman" w:hAnsi="Times New Roman" w:eastAsia="宋体" w:cs="Times New Roman"/>
          <w:color w:val="000000"/>
          <w:kern w:val="2"/>
          <w:sz w:val="21"/>
          <w:szCs w:val="21"/>
          <w:lang w:bidi="ar"/>
        </w:rPr>
        <w:t>6-</w:t>
      </w:r>
      <w:r>
        <w:rPr>
          <w:rFonts w:hint="default" w:ascii="Times New Roman" w:hAnsi="Times New Roman" w:eastAsia="宋体" w:cs="Times New Roman"/>
          <w:color w:val="000000"/>
          <w:kern w:val="2"/>
          <w:sz w:val="21"/>
          <w:szCs w:val="21"/>
          <w:lang w:val="en-US" w:eastAsia="zh-CN" w:bidi="ar"/>
        </w:rPr>
        <w:t>9</w:t>
      </w:r>
      <w:r>
        <w:rPr>
          <w:rFonts w:hint="default" w:ascii="Times New Roman" w:hAnsi="Times New Roman" w:eastAsia="宋体" w:cs="Times New Roman"/>
          <w:sz w:val="21"/>
          <w:szCs w:val="21"/>
          <w:lang w:bidi="ar"/>
        </w:rPr>
        <w:t xml:space="preserve"> </w:t>
      </w:r>
      <w:r>
        <w:rPr>
          <w:rFonts w:hint="eastAsia" w:ascii="宋体" w:hAnsi="宋体" w:eastAsia="宋体" w:cs="宋体"/>
          <w:sz w:val="21"/>
          <w:szCs w:val="21"/>
          <w:lang w:bidi="ar"/>
        </w:rPr>
        <w:t>平台</w:t>
      </w:r>
      <w:r>
        <w:rPr>
          <w:rFonts w:hint="default" w:ascii="Times New Roman" w:hAnsi="Times New Roman" w:eastAsia="宋体" w:cs="Times New Roman"/>
          <w:sz w:val="21"/>
          <w:szCs w:val="21"/>
          <w:lang w:bidi="ar"/>
        </w:rPr>
        <w:t>Zemax</w:t>
      </w:r>
      <w:r>
        <w:rPr>
          <w:rFonts w:hint="eastAsia" w:ascii="宋体" w:hAnsi="宋体" w:eastAsia="宋体" w:cs="宋体"/>
          <w:sz w:val="21"/>
          <w:szCs w:val="21"/>
          <w:lang w:bidi="ar"/>
        </w:rPr>
        <w:t>对比图</w:t>
      </w:r>
    </w:p>
    <w:p w14:paraId="73B686CE">
      <w:pPr>
        <w:pStyle w:val="2"/>
        <w:spacing w:before="312" w:after="312"/>
      </w:pPr>
      <w:r>
        <w:rPr>
          <w:rFonts w:hint="eastAsia"/>
        </w:rPr>
        <w:br w:type="page"/>
      </w:r>
      <w:bookmarkStart w:id="55" w:name="_Toc14112"/>
      <w:r>
        <w:rPr>
          <w:rFonts w:hint="eastAsia"/>
        </w:rPr>
        <w:t>7总结及展望</w:t>
      </w:r>
      <w:bookmarkEnd w:id="55"/>
    </w:p>
    <w:p w14:paraId="3C5E822D">
      <w:pPr>
        <w:pStyle w:val="3"/>
        <w:spacing w:before="249" w:after="249"/>
      </w:pPr>
      <w:bookmarkStart w:id="56" w:name="_Toc32456"/>
      <w:r>
        <w:t>7.1 仿真平台的优势</w:t>
      </w:r>
      <w:bookmarkEnd w:id="56"/>
    </w:p>
    <w:p w14:paraId="10B4BD3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本平台建立了从几何光路到波动复场、从模式重叠到系统效率的统一计算链。Gaussian/ABCD 模型提供快速解析估计，顺序光线追迹描述真实通光路径和光程，公共出射面复场重建实现几何光学与波动光学的衔接，角谱或 Fresnel 传播进一步获得光纤端面的入射场。</w:t>
      </w:r>
    </w:p>
    <w:p w14:paraId="00CB715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平台将固定结构和可变结构区分建模，并把机器学习放在物理仿真之后。随机森林/XGBoost 适合连续参数代理，BiLSTM 适合光学元件序列表示；贝叶斯优化、差分进化和 Powell 分别承担全局探索与局部精调，硬约束保证候选方案具有工程可行性。</w:t>
      </w:r>
    </w:p>
    <w:p w14:paraId="17C7332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平台还将 SHAP 解释与光学公式、单变量扫描和正式复算结合起来，使参数重要性能够回到尺寸失配、位置偏移、角度倾斜、轴向离焦和曲率失配等物理因素。研究者不仅可以得到“效率是多少”，还可以进一步判断“主要受什么影响、应从哪里调整”。</w:t>
      </w:r>
    </w:p>
    <w:p w14:paraId="25E26505">
      <w:pPr>
        <w:pStyle w:val="3"/>
        <w:spacing w:before="249" w:after="249"/>
      </w:pPr>
      <w:bookmarkStart w:id="57" w:name="_Toc20277"/>
      <w:r>
        <w:t>7.</w:t>
      </w:r>
      <w:r>
        <w:rPr>
          <w:rFonts w:hint="eastAsia"/>
        </w:rPr>
        <w:t>2</w:t>
      </w:r>
      <w:r>
        <w:t xml:space="preserve"> 展望</w:t>
      </w:r>
      <w:bookmarkEnd w:id="57"/>
    </w:p>
    <w:p w14:paraId="794A485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ascii="宋体" w:hAnsi="宋体"/>
          <w:color w:val="000000"/>
        </w:rPr>
      </w:pPr>
      <w:r>
        <w:rPr>
          <w:rFonts w:ascii="宋体" w:hAnsi="宋体"/>
          <w:color w:val="000000"/>
        </w:rPr>
        <w:t>未来将进一步完善“可视化建模—正式仿真—数据生成—代理模型—解释优化—独立复核”的研究工作台，使平台能够支持更多光源、透镜面型和光纤类型。教学方面，将围绕光路搭建、模场失配、参数敏感性和虚拟装调建设可重复的案例库；工程方面，将加强约束优化、容差分析和稳健性评价，使输出结果从单一最优值扩展为满足制造和装调要求的可行方案集合。</w:t>
      </w:r>
    </w:p>
    <w:p w14:paraId="5828F8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t>后续可从三个方面改进：增加容差传播和鲁棒优化，研究制造误差与装调误差的联合影响；扩充多波长、柱面镜、复杂光纤模式和材料数据库；积累规范化实验数据，用于独立比较和边界条件验证，而不将实验数据简单回代为模型校准结论。</w:t>
      </w:r>
    </w:p>
    <w:p w14:paraId="31C5C4B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研究可信度方面，平台将继续区分解析模型、正式物理仿真、代理模型预测和实验对比四类证据，分别记录其适用条件和不确定性。通过统一的任务追溯和版本管理，逐步形成可复现、可解释、可扩展的激光耦合仿真与智能优化平台。</w:t>
      </w:r>
    </w:p>
    <w:p w14:paraId="0B18603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br w:type="page"/>
      </w:r>
    </w:p>
    <w:p w14:paraId="41311A77">
      <w:pPr>
        <w:ind w:firstLine="480" w:firstLineChars="200"/>
      </w:pPr>
    </w:p>
    <w:p w14:paraId="13D12F4F">
      <w:pPr>
        <w:pStyle w:val="2"/>
        <w:spacing w:before="312" w:after="312"/>
      </w:pPr>
      <w:bookmarkStart w:id="58" w:name="_Toc18350"/>
      <w:r>
        <w:rPr>
          <w:rFonts w:hint="eastAsia"/>
        </w:rPr>
        <w:t>8团队成员贡献</w:t>
      </w:r>
      <w:bookmarkEnd w:id="58"/>
    </w:p>
    <w:p w14:paraId="5B10A8A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团队分工围绕理论建模、软件架构、机器学习、界面交互和材料汇报展开。各成员既承担相对独立的模块，也通过统一的工程参数、任务接口和结果复核机制协同完成项目。具体分工见表 8-1。</w:t>
      </w:r>
    </w:p>
    <w:p w14:paraId="2922653C">
      <w:pPr>
        <w:ind w:firstLine="420" w:firstLineChars="200"/>
        <w:jc w:val="center"/>
        <w:rPr>
          <w:rFonts w:hint="eastAsia" w:ascii="宋体" w:hAnsi="宋体" w:cs="宋体"/>
          <w:sz w:val="21"/>
          <w:szCs w:val="21"/>
        </w:rPr>
      </w:pPr>
      <w:r>
        <w:rPr>
          <w:rFonts w:hint="eastAsia" w:ascii="宋体" w:hAnsi="宋体" w:cs="宋体"/>
          <w:color w:val="000000"/>
          <w:sz w:val="21"/>
          <w:szCs w:val="21"/>
        </w:rPr>
        <w:t>表8-1成员分工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8"/>
        <w:gridCol w:w="6777"/>
      </w:tblGrid>
      <w:tr w14:paraId="1262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12" w:space="0"/>
              <w:left w:val="nil"/>
              <w:bottom w:val="single" w:color="auto" w:sz="6" w:space="0"/>
              <w:right w:val="nil"/>
            </w:tcBorders>
          </w:tcPr>
          <w:p w14:paraId="2792777B">
            <w:pPr>
              <w:ind w:firstLine="480" w:firstLineChars="200"/>
            </w:pPr>
            <w:r>
              <w:t>成员名</w:t>
            </w:r>
          </w:p>
        </w:tc>
        <w:tc>
          <w:tcPr>
            <w:tcW w:w="6777" w:type="dxa"/>
            <w:tcBorders>
              <w:top w:val="single" w:color="auto" w:sz="12" w:space="0"/>
              <w:left w:val="nil"/>
              <w:bottom w:val="single" w:color="auto" w:sz="6" w:space="0"/>
              <w:right w:val="nil"/>
            </w:tcBorders>
          </w:tcPr>
          <w:p w14:paraId="38FE6481">
            <w:pPr>
              <w:ind w:firstLine="480" w:firstLineChars="200"/>
              <w:jc w:val="center"/>
            </w:pPr>
            <w:r>
              <w:t>成员分工</w:t>
            </w:r>
          </w:p>
        </w:tc>
      </w:tr>
      <w:tr w14:paraId="1AAC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single" w:color="auto" w:sz="6" w:space="0"/>
              <w:left w:val="nil"/>
              <w:bottom w:val="nil"/>
              <w:right w:val="nil"/>
            </w:tcBorders>
          </w:tcPr>
          <w:p w14:paraId="65DE8059">
            <w:pPr>
              <w:ind w:firstLine="480" w:firstLineChars="200"/>
            </w:pPr>
            <w:r>
              <w:t>队长</w:t>
            </w:r>
          </w:p>
        </w:tc>
        <w:tc>
          <w:tcPr>
            <w:tcW w:w="6777" w:type="dxa"/>
            <w:tcBorders>
              <w:top w:val="single" w:color="auto" w:sz="6" w:space="0"/>
              <w:left w:val="nil"/>
              <w:bottom w:val="nil"/>
              <w:right w:val="nil"/>
            </w:tcBorders>
          </w:tcPr>
          <w:p w14:paraId="23EEC946">
            <w:pPr>
              <w:ind w:firstLine="480" w:firstLineChars="200"/>
            </w:pPr>
            <w:r>
              <w:rPr>
                <w:rFonts w:hint="eastAsia"/>
              </w:rPr>
              <w:t>负责项目统筹、理论研究、实验设计与数据采集，实验仪器建模，以及平台、Zemax和实验结果的综合分析、验证与研究报告内容。</w:t>
            </w:r>
          </w:p>
        </w:tc>
      </w:tr>
      <w:tr w14:paraId="670D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5F45ECCB">
            <w:pPr>
              <w:ind w:firstLine="480" w:firstLineChars="200"/>
            </w:pPr>
            <w:r>
              <w:t>队员一</w:t>
            </w:r>
          </w:p>
        </w:tc>
        <w:tc>
          <w:tcPr>
            <w:tcW w:w="6777" w:type="dxa"/>
            <w:tcBorders>
              <w:top w:val="nil"/>
              <w:left w:val="nil"/>
              <w:bottom w:val="nil"/>
              <w:right w:val="nil"/>
            </w:tcBorders>
          </w:tcPr>
          <w:p w14:paraId="189A0064">
            <w:pPr>
              <w:ind w:firstLine="480" w:firstLineChars="200"/>
            </w:pPr>
            <w:r>
              <w:t>负责系统架构、前后端工作流、模块接口、数据管理、任务追溯、软件测试及封装部署。</w:t>
            </w:r>
          </w:p>
        </w:tc>
      </w:tr>
      <w:tr w14:paraId="506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126EEB66">
            <w:pPr>
              <w:ind w:firstLine="480" w:firstLineChars="200"/>
            </w:pPr>
            <w:r>
              <w:t>队员二</w:t>
            </w:r>
          </w:p>
        </w:tc>
        <w:tc>
          <w:tcPr>
            <w:tcW w:w="6777" w:type="dxa"/>
            <w:tcBorders>
              <w:top w:val="nil"/>
              <w:left w:val="nil"/>
              <w:bottom w:val="nil"/>
              <w:right w:val="nil"/>
            </w:tcBorders>
          </w:tcPr>
          <w:p w14:paraId="44497049">
            <w:pPr>
              <w:ind w:firstLine="480" w:firstLineChars="200"/>
            </w:pPr>
            <w:r>
              <w:t>负责数据集构建、机器学习、智能优化、</w:t>
            </w:r>
            <w:r>
              <w:rPr>
                <w:rFonts w:hint="eastAsia"/>
              </w:rPr>
              <w:t>SHAP</w:t>
            </w:r>
            <w:r>
              <w:t>解释、不确定度分析及智能模型验证。</w:t>
            </w:r>
          </w:p>
        </w:tc>
      </w:tr>
      <w:tr w14:paraId="0514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nil"/>
              <w:right w:val="nil"/>
            </w:tcBorders>
          </w:tcPr>
          <w:p w14:paraId="60A9665E">
            <w:pPr>
              <w:ind w:firstLine="480" w:firstLineChars="200"/>
            </w:pPr>
            <w:r>
              <w:t>队员三</w:t>
            </w:r>
          </w:p>
        </w:tc>
        <w:tc>
          <w:tcPr>
            <w:tcW w:w="6777" w:type="dxa"/>
            <w:tcBorders>
              <w:top w:val="nil"/>
              <w:left w:val="nil"/>
              <w:bottom w:val="nil"/>
              <w:right w:val="nil"/>
            </w:tcBorders>
          </w:tcPr>
          <w:p w14:paraId="5DC90D6C">
            <w:pPr>
              <w:ind w:firstLine="480" w:firstLineChars="200"/>
            </w:pPr>
            <w:r>
              <w:t>负责前端</w:t>
            </w:r>
            <w:r>
              <w:rPr>
                <w:rFonts w:hint="eastAsia"/>
              </w:rPr>
              <w:t>UI</w:t>
            </w:r>
            <w:r>
              <w:t>与交互设计、前端代码、结果可视化、界面测试及用户体验优化。</w:t>
            </w:r>
          </w:p>
        </w:tc>
      </w:tr>
      <w:tr w14:paraId="5B29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8" w:type="dxa"/>
            <w:tcBorders>
              <w:top w:val="nil"/>
              <w:left w:val="nil"/>
              <w:bottom w:val="single" w:color="auto" w:sz="12" w:space="0"/>
              <w:right w:val="nil"/>
            </w:tcBorders>
          </w:tcPr>
          <w:p w14:paraId="0993F700">
            <w:pPr>
              <w:ind w:firstLine="480" w:firstLineChars="200"/>
            </w:pPr>
            <w:r>
              <w:t>队员四</w:t>
            </w:r>
          </w:p>
        </w:tc>
        <w:tc>
          <w:tcPr>
            <w:tcW w:w="6777" w:type="dxa"/>
            <w:tcBorders>
              <w:top w:val="nil"/>
              <w:left w:val="nil"/>
              <w:bottom w:val="single" w:color="auto" w:sz="12" w:space="0"/>
              <w:right w:val="nil"/>
            </w:tcBorders>
          </w:tcPr>
          <w:p w14:paraId="0C776351">
            <w:pPr>
              <w:ind w:firstLine="480" w:firstLineChars="200"/>
            </w:pPr>
            <w:r>
              <w:t>负责PPT与图文材料制作、视频录制剪辑、技术文档排版、教学演示及项目答辩汇报。</w:t>
            </w:r>
          </w:p>
        </w:tc>
      </w:tr>
    </w:tbl>
    <w:p w14:paraId="6C34BAF4">
      <w:pPr>
        <w:ind w:firstLine="480" w:firstLineChars="200"/>
      </w:pPr>
      <w:r>
        <w:rPr>
          <w:rFonts w:hint="eastAsia"/>
        </w:rPr>
        <w:br w:type="page"/>
      </w:r>
    </w:p>
    <w:p w14:paraId="3DF505C5"/>
    <w:p w14:paraId="7BEB3C64">
      <w:pPr>
        <w:pStyle w:val="2"/>
        <w:spacing w:before="312" w:after="312"/>
      </w:pPr>
      <w:bookmarkStart w:id="59" w:name="_Toc20470"/>
      <w:r>
        <w:rPr>
          <w:rFonts w:hint="eastAsia"/>
        </w:rPr>
        <w:t>9参考文献</w:t>
      </w:r>
      <w:bookmarkEnd w:id="59"/>
    </w:p>
    <w:p w14:paraId="0A78C2C4">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 张丹丹, 黄芷婷, 李君. 半导体激光器与光纤耦合效率仿真分析[J]. 应用光学, 2026, 47(4): 952–960. DOI: 10.5768/JAO202647.0408002.</w:t>
      </w:r>
    </w:p>
    <w:p w14:paraId="55D4852F">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[2] 王艺轩, 郭斌, 刁晓飞, 胡晓峰, 罗哉. 高斯光束单模光纤耦合效率影响因素的定量分析[J].计量学报, 2025, 46(9): 1364–1370.</w:t>
      </w:r>
    </w:p>
    <w:p w14:paraId="55064DD0">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[3] 陈炫辉, 张士元, 谢向生. 基于角谱的相干光成像中的透镜相位约束[J]. 物理实验, 2026, 46(2): 9–15.</w:t>
      </w:r>
    </w:p>
    <w:p w14:paraId="6DE41A6C">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[4] 杨晨. 标量衍射的优化数值计算方法研究[D]. 北京: 中国科学院大学（中国科学院长春光学精密机械与物理研究所）, 2025.</w:t>
      </w:r>
    </w:p>
    <w:p w14:paraId="62D696B8">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[5] 陈海涛, 杨华军, 李拓辉, 等. 光纤偏移对空间光-单模光纤耦合效率的影响[J]. 激光与红外, 2011, 41(1): 75–78.</w:t>
      </w:r>
    </w:p>
    <w:p w14:paraId="5D6109D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[6] 魏晨露. 基于矩阵乘积角谱衍射算法的激光光强空间分布测量方法研究[D]. 南京: 南京理工大学, 2021.</w:t>
      </w:r>
    </w:p>
    <w:p w14:paraId="6EC3D772">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[7] 李立洁. 聚焦系统对单模光纤空间光耦合影响分析[D]. 哈尔滨: 哈尔滨工业大学, 2014.</w:t>
      </w:r>
    </w:p>
    <w:p w14:paraId="6A2D15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[8] KLINE M, KAY I W. Electromagnetic Theory and Geometrical Optics[M]. New York: Interscience Publishers, 1965.</w:t>
      </w:r>
    </w:p>
    <w:p w14:paraId="5EA9DD7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[9] GOODMAN J W. Introduction to Fourier Optics[M]. 4th ed. New York: W. H. Freeman, 2017.</w:t>
      </w:r>
    </w:p>
    <w:p w14:paraId="35A129F1">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[10] LUNEBURG R K. Mathematical Theory of Optics[M]. Berkeley: University of California Press, 1964.</w:t>
      </w:r>
    </w:p>
    <w:p w14:paraId="02D2DFFE">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[11] ADRIAANSE J P, VAN DER STEEN H W G, BARTH J E. Practical Optimization of Electrostatic Lenses[J]. Journal of Vacuum Science &amp; Technology B, 1989, 7(4): 651–666.</w:t>
      </w:r>
    </w:p>
    <w:p w14:paraId="6EE7B3CA">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[12] SPENCER G H, MURTY M V R K. General Ray-Tracing Procedure[J]. Journal of the Optical Society of America, 1962, 52(6): 672–678.</w:t>
      </w:r>
    </w:p>
    <w:p w14:paraId="49E94625">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[13] SNYDER A W, LOVE J D. Optical Waveguide Theory[M]. London: Chapman and Hall, 1983.</w:t>
      </w:r>
    </w:p>
    <w:p w14:paraId="1534CA4B">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[14] POLYANSKIY M N. Refractiveindex.info Database of Optical Constants[J]. Scientific Data, 2024, 11: 94.</w:t>
      </w:r>
    </w:p>
    <w:p w14:paraId="25415259">
      <w:pPr>
        <w:keepNext w:val="0"/>
        <w:keepLines w:val="0"/>
        <w:pageBreakBefore w:val="0"/>
        <w:widowControl w:val="0"/>
        <w:kinsoku/>
        <w:wordWrap/>
        <w:overflowPunct/>
        <w:topLinePunct w:val="0"/>
        <w:autoSpaceDE/>
        <w:autoSpaceDN/>
        <w:bidi w:val="0"/>
        <w:adjustRightInd/>
        <w:snapToGrid/>
        <w:spacing w:line="240" w:lineRule="auto"/>
        <w:ind w:left="0" w:leftChars="0"/>
        <w:textAlignment w:val="auto"/>
        <w:rPr>
          <w:sz w:val="21"/>
          <w:szCs w:val="21"/>
        </w:rPr>
      </w:pPr>
      <w:r>
        <w:rPr>
          <w:sz w:val="21"/>
          <w:szCs w:val="21"/>
        </w:rPr>
        <w:t>[15] VOELZ D G. Computational Fourier Optics: A MATLAB Tutorial[M]. Bellingham, WA: SPIE Press, 2011.</w:t>
      </w:r>
    </w:p>
    <w:p w14:paraId="5600F586">
      <w:pPr>
        <w:keepNext w:val="0"/>
        <w:keepLines w:val="0"/>
        <w:pageBreakBefore w:val="0"/>
        <w:widowControl w:val="0"/>
        <w:kinsoku/>
        <w:wordWrap/>
        <w:overflowPunct/>
        <w:topLinePunct w:val="0"/>
        <w:autoSpaceDE/>
        <w:autoSpaceDN/>
        <w:bidi w:val="0"/>
        <w:adjustRightInd/>
        <w:snapToGrid/>
        <w:ind w:left="0" w:leftChars="0"/>
        <w:textAlignment w:val="auto"/>
      </w:pPr>
      <w:bookmarkStart w:id="60" w:name="_Toc11446"/>
      <w:r>
        <w:rPr>
          <w:rFonts w:hint="eastAsia"/>
        </w:rPr>
        <w:br w:type="page"/>
      </w:r>
    </w:p>
    <w:p w14:paraId="7DD803AC">
      <w:pPr>
        <w:pStyle w:val="2"/>
        <w:spacing w:before="312" w:after="312"/>
      </w:pPr>
      <w:r>
        <w:rPr>
          <w:rFonts w:hint="eastAsia"/>
        </w:rPr>
        <w:t>附录</w:t>
      </w:r>
      <w:bookmarkEnd w:id="60"/>
    </w:p>
    <w:p w14:paraId="6311D033">
      <w:pPr>
        <w:pStyle w:val="3"/>
        <w:spacing w:before="249" w:after="249"/>
      </w:pPr>
      <w:bookmarkStart w:id="61" w:name="_Toc5535"/>
      <w:r>
        <w:rPr>
          <w:rFonts w:hint="eastAsia"/>
        </w:rPr>
        <w:t>附录A材料数据来源</w:t>
      </w:r>
      <w:bookmarkEnd w:id="61"/>
    </w:p>
    <w:p w14:paraId="3D6D11F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材料数据来源于开源软件opticskit 的data 部分，仅引用其中的json 文件，未引用源码。</w:t>
      </w:r>
    </w:p>
    <w:p w14:paraId="1C56F79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材料光学常数来源于refractiveindex.info 数据库，遵循CC0 1.0 通用公共领域授权协议。</w:t>
      </w:r>
    </w:p>
    <w:p w14:paraId="4F6615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部分补充光学玻璃条目在JSON 文件内保留了肖特（Schott）产品目录元信息。</w:t>
      </w:r>
    </w:p>
    <w:p w14:paraId="1A50FD2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在代码中也作了说明。</w:t>
      </w:r>
    </w:p>
    <w:p w14:paraId="300D3D2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p>
    <w:p w14:paraId="06EFD58B">
      <w:pPr>
        <w:ind w:firstLine="480" w:firstLineChars="200"/>
      </w:pPr>
      <w:r>
        <w:drawing>
          <wp:inline distT="0" distB="0" distL="114300" distR="114300">
            <wp:extent cx="5684520" cy="723900"/>
            <wp:effectExtent l="0" t="0" r="1143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6"/>
                    <a:stretch>
                      <a:fillRect/>
                    </a:stretch>
                  </pic:blipFill>
                  <pic:spPr>
                    <a:xfrm>
                      <a:off x="0" y="0"/>
                      <a:ext cx="5684520" cy="723900"/>
                    </a:xfrm>
                    <a:prstGeom prst="rect">
                      <a:avLst/>
                    </a:prstGeom>
                    <a:noFill/>
                    <a:ln>
                      <a:noFill/>
                    </a:ln>
                  </pic:spPr>
                </pic:pic>
              </a:graphicData>
            </a:graphic>
          </wp:inline>
        </w:drawing>
      </w:r>
    </w:p>
    <w:p w14:paraId="39DFD6D7">
      <w:pPr>
        <w:pStyle w:val="7"/>
        <w:ind w:firstLine="400" w:firstLineChars="200"/>
        <w:jc w:val="center"/>
        <w:rPr>
          <w:rFonts w:eastAsia="宋体"/>
        </w:rPr>
      </w:pPr>
      <w:r>
        <w:rPr>
          <w:rFonts w:ascii="宋体" w:hAnsi="宋体" w:eastAsia="宋体"/>
          <w:color w:val="000000"/>
        </w:rPr>
        <w:t xml:space="preserve">图 </w:t>
      </w:r>
      <w:r>
        <w:rPr>
          <w:rFonts w:ascii="Times New Roman" w:hAnsi="Times New Roman" w:eastAsia="宋体" w:cs="Times New Roman"/>
          <w:color w:val="000000"/>
        </w:rPr>
        <w:t>A-1</w:t>
      </w:r>
      <w:r>
        <w:rPr>
          <w:rFonts w:ascii="宋体" w:hAnsi="宋体" w:eastAsia="宋体"/>
          <w:color w:val="000000"/>
        </w:rPr>
        <w:t xml:space="preserve"> 材料数据来源说明</w:t>
      </w:r>
    </w:p>
    <w:p w14:paraId="5B41C96D">
      <w:pPr>
        <w:pStyle w:val="3"/>
        <w:spacing w:before="249" w:after="249"/>
      </w:pPr>
      <w:bookmarkStart w:id="62" w:name="_Toc32148"/>
      <w:r>
        <w:rPr>
          <w:rFonts w:hint="eastAsia"/>
        </w:rPr>
        <w:t>附录B AI使用声明</w:t>
      </w:r>
      <w:bookmarkEnd w:id="62"/>
    </w:p>
    <w:p w14:paraId="05D933D7">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光学仿真：AI根据成员提供的参数和公式辅助生成代码，测试数值是否收敛，占比约42%</w:t>
      </w:r>
    </w:p>
    <w:p w14:paraId="78A67F64">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机器学习：AI协助成员搜索算法并进行修改，占比约50%</w:t>
      </w:r>
    </w:p>
    <w:p w14:paraId="267219B0">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前端代码：AI根据成员指定布局框架生成代码，并辅助成员写通信代码，占比约32%</w:t>
      </w:r>
    </w:p>
    <w:p w14:paraId="0250403F">
      <w:pPr>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rPr>
        <w:t>后端代码：AI根据成员指定链路辅助生成代码、写通信代码、修复bug，占比约60%</w:t>
      </w:r>
    </w:p>
    <w:p w14:paraId="5BBD530D">
      <w:pPr>
        <w:pageBreakBefore w:val="0"/>
        <w:widowControl w:val="0"/>
        <w:kinsoku/>
        <w:wordWrap/>
        <w:overflowPunct/>
        <w:topLinePunct w:val="0"/>
        <w:autoSpaceDE/>
        <w:autoSpaceDN/>
        <w:bidi w:val="0"/>
        <w:adjustRightInd/>
        <w:snapToGrid/>
        <w:ind w:left="0" w:leftChars="0" w:firstLine="480" w:firstLineChars="200"/>
        <w:textAlignment w:val="auto"/>
      </w:pPr>
      <w:r>
        <w:t>以下核心工作完全由团队独立完成，AI未参与：</w:t>
      </w:r>
    </w:p>
    <w:p w14:paraId="0928135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t>总体技术路线、软件架构设计、光学物理模型与假设；所有系统参数（光源、光纤、透镜组合）、约束条件、评价指标；训练数据生成方式、特征选择、优化目标与验证方案；仿真结果的复核、候选方案的最终确定、研究结论和创新点总结。</w:t>
      </w:r>
    </w:p>
    <w:p w14:paraId="617A8D27">
      <w:pPr>
        <w:pStyle w:val="3"/>
        <w:pageBreakBefore w:val="0"/>
        <w:widowControl w:val="0"/>
        <w:kinsoku/>
        <w:wordWrap/>
        <w:overflowPunct/>
        <w:topLinePunct w:val="0"/>
        <w:autoSpaceDE/>
        <w:autoSpaceDN/>
        <w:bidi w:val="0"/>
        <w:adjustRightInd/>
        <w:snapToGrid/>
        <w:spacing w:before="249" w:after="249"/>
        <w:ind w:left="0" w:leftChars="0" w:firstLine="602" w:firstLineChars="200"/>
        <w:textAlignment w:val="auto"/>
      </w:pPr>
    </w:p>
    <w:sectPr>
      <w:footerReference r:id="rId7" w:type="default"/>
      <w:pgSz w:w="11906" w:h="16838"/>
      <w:pgMar w:top="1417" w:right="1134" w:bottom="1417" w:left="141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FandolSong">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427FB">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A19D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6DA19D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E7FB">
    <w:pPr>
      <w:pStyle w:val="1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7C94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23D7C94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1072">
    <w:pPr>
      <w:pStyle w:val="1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065F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D4065F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C3A13"/>
    <w:multiLevelType w:val="multilevel"/>
    <w:tmpl w:val="780C3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E6A7C8A"/>
    <w:multiLevelType w:val="multilevel"/>
    <w:tmpl w:val="7E6A7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FE24CA0"/>
    <w:multiLevelType w:val="multilevel"/>
    <w:tmpl w:val="7FE24C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E4712"/>
    <w:rsid w:val="00064A48"/>
    <w:rsid w:val="00316115"/>
    <w:rsid w:val="003F268D"/>
    <w:rsid w:val="00500A4A"/>
    <w:rsid w:val="00622F82"/>
    <w:rsid w:val="006C4D37"/>
    <w:rsid w:val="006C7B51"/>
    <w:rsid w:val="00752842"/>
    <w:rsid w:val="007E0C73"/>
    <w:rsid w:val="007E7281"/>
    <w:rsid w:val="0084150B"/>
    <w:rsid w:val="00855FC1"/>
    <w:rsid w:val="008A53E9"/>
    <w:rsid w:val="00917D5C"/>
    <w:rsid w:val="009714B3"/>
    <w:rsid w:val="00A3596A"/>
    <w:rsid w:val="00A51FE2"/>
    <w:rsid w:val="00A57044"/>
    <w:rsid w:val="00CA3FD7"/>
    <w:rsid w:val="00CB02F9"/>
    <w:rsid w:val="00CF0327"/>
    <w:rsid w:val="00D42929"/>
    <w:rsid w:val="00DB279D"/>
    <w:rsid w:val="00E573D8"/>
    <w:rsid w:val="00E8720F"/>
    <w:rsid w:val="00F06DBC"/>
    <w:rsid w:val="05A76A4C"/>
    <w:rsid w:val="05F0454A"/>
    <w:rsid w:val="079F222A"/>
    <w:rsid w:val="21435A29"/>
    <w:rsid w:val="32207041"/>
    <w:rsid w:val="34D13E24"/>
    <w:rsid w:val="36AE070A"/>
    <w:rsid w:val="454969AB"/>
    <w:rsid w:val="54B75204"/>
    <w:rsid w:val="5C6A0EEC"/>
    <w:rsid w:val="62181F93"/>
    <w:rsid w:val="62AE1D54"/>
    <w:rsid w:val="6C4E4712"/>
    <w:rsid w:val="6F562515"/>
    <w:rsid w:val="6FD51606"/>
    <w:rsid w:val="7B18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80" w:leftChars="200"/>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rPr>
  </w:style>
  <w:style w:type="paragraph" w:styleId="2">
    <w:name w:val="heading 1"/>
    <w:basedOn w:val="1"/>
    <w:next w:val="1"/>
    <w:link w:val="23"/>
    <w:qFormat/>
    <w:uiPriority w:val="0"/>
    <w:pPr>
      <w:keepNext/>
      <w:keepLines/>
      <w:spacing w:before="100" w:beforeLines="100" w:after="100" w:afterLines="100" w:line="576" w:lineRule="auto"/>
      <w:ind w:left="0" w:leftChars="0"/>
      <w:outlineLvl w:val="0"/>
    </w:pPr>
    <w:rPr>
      <w:rFonts w:eastAsia="黑体"/>
      <w:b/>
      <w:kern w:val="44"/>
      <w:sz w:val="44"/>
    </w:rPr>
  </w:style>
  <w:style w:type="paragraph" w:styleId="3">
    <w:name w:val="heading 2"/>
    <w:basedOn w:val="1"/>
    <w:next w:val="1"/>
    <w:link w:val="21"/>
    <w:unhideWhenUsed/>
    <w:qFormat/>
    <w:uiPriority w:val="0"/>
    <w:pPr>
      <w:keepNext/>
      <w:keepLines/>
      <w:spacing w:before="80" w:beforeLines="80" w:after="80" w:afterLines="80" w:line="413" w:lineRule="auto"/>
      <w:ind w:left="0" w:leftChars="0"/>
      <w:outlineLvl w:val="1"/>
    </w:pPr>
    <w:rPr>
      <w:rFonts w:eastAsia="黑体"/>
      <w:b/>
      <w:sz w:val="30"/>
    </w:rPr>
  </w:style>
  <w:style w:type="paragraph" w:styleId="4">
    <w:name w:val="heading 3"/>
    <w:basedOn w:val="1"/>
    <w:next w:val="1"/>
    <w:link w:val="25"/>
    <w:unhideWhenUsed/>
    <w:qFormat/>
    <w:uiPriority w:val="0"/>
    <w:pPr>
      <w:keepNext/>
      <w:keepLines/>
      <w:spacing w:before="50" w:beforeLines="50" w:after="50" w:afterLines="50" w:line="413" w:lineRule="auto"/>
      <w:ind w:left="0" w:leftChars="0"/>
      <w:outlineLvl w:val="2"/>
    </w:pPr>
    <w:rPr>
      <w:rFonts w:eastAsia="黑体"/>
      <w:b/>
      <w:sz w:val="28"/>
    </w:rPr>
  </w:style>
  <w:style w:type="paragraph" w:styleId="5">
    <w:name w:val="heading 4"/>
    <w:basedOn w:val="1"/>
    <w:next w:val="1"/>
    <w:unhideWhenUsed/>
    <w:qFormat/>
    <w:uiPriority w:val="0"/>
    <w:pPr>
      <w:keepNext/>
      <w:keepLines/>
      <w:spacing w:before="280" w:after="290" w:line="372" w:lineRule="auto"/>
      <w:ind w:left="0" w:leftChars="0"/>
      <w:outlineLvl w:val="3"/>
    </w:pPr>
    <w:rPr>
      <w:rFonts w:eastAsia="黑体"/>
      <w:b/>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ind w:left="840" w:leftChars="400"/>
    </w:pPr>
  </w:style>
  <w:style w:type="paragraph" w:styleId="9">
    <w:name w:val="Body Text Indent 2"/>
    <w:basedOn w:val="1"/>
    <w:link w:val="24"/>
    <w:qFormat/>
    <w:uiPriority w:val="0"/>
    <w:pPr>
      <w:spacing w:after="120" w:line="480" w:lineRule="auto"/>
      <w:ind w:left="420"/>
    </w:pPr>
  </w:style>
  <w:style w:type="paragraph" w:styleId="10">
    <w:name w:val="footer"/>
    <w:basedOn w:val="1"/>
    <w:qFormat/>
    <w:uiPriority w:val="0"/>
    <w:pPr>
      <w:tabs>
        <w:tab w:val="center" w:pos="4153"/>
        <w:tab w:val="right" w:pos="8306"/>
      </w:tabs>
      <w:snapToGrid w:val="0"/>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2">
    <w:name w:val="toc 1"/>
    <w:basedOn w:val="1"/>
    <w:next w:val="1"/>
    <w:qFormat/>
    <w:uiPriority w:val="0"/>
    <w:pPr>
      <w:jc w:val="center"/>
    </w:pPr>
    <w:rPr>
      <w:rFonts w:eastAsia="黑体"/>
      <w:sz w:val="44"/>
    </w:rPr>
  </w:style>
  <w:style w:type="paragraph" w:styleId="13">
    <w:name w:val="toc 2"/>
    <w:basedOn w:val="1"/>
    <w:next w:val="1"/>
    <w:qFormat/>
    <w:uiPriority w:val="0"/>
    <w:pPr>
      <w:ind w:left="420"/>
    </w:pPr>
  </w:style>
  <w:style w:type="paragraph" w:styleId="14">
    <w:name w:val="Normal (Web)"/>
    <w:basedOn w:val="1"/>
    <w:qFormat/>
    <w:uiPriority w:val="0"/>
    <w:pPr>
      <w:spacing w:beforeAutospacing="1" w:afterAutospacing="1"/>
      <w:ind w:left="0"/>
    </w:pPr>
    <w:rPr>
      <w:rFonts w:cs="Times New Roman"/>
      <w:kern w:val="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1">
    <w:name w:val="标题 2 字符"/>
    <w:link w:val="3"/>
    <w:qFormat/>
    <w:uiPriority w:val="0"/>
    <w:rPr>
      <w:rFonts w:ascii="Times New Roman" w:hAnsi="Times New Roman" w:eastAsia="黑体"/>
      <w:b/>
      <w:sz w:val="30"/>
    </w:rPr>
  </w:style>
  <w:style w:type="character" w:styleId="22">
    <w:name w:val="Placeholder Text"/>
    <w:basedOn w:val="17"/>
    <w:unhideWhenUsed/>
    <w:qFormat/>
    <w:uiPriority w:val="99"/>
    <w:rPr>
      <w:color w:val="666666"/>
    </w:rPr>
  </w:style>
  <w:style w:type="character" w:customStyle="1" w:styleId="23">
    <w:name w:val="标题 1 字符"/>
    <w:basedOn w:val="17"/>
    <w:link w:val="2"/>
    <w:qFormat/>
    <w:uiPriority w:val="0"/>
    <w:rPr>
      <w:rFonts w:hint="eastAsia" w:ascii="黑体" w:hAnsi="宋体" w:eastAsia="黑体" w:cs="Times New Roman"/>
      <w:b/>
      <w:color w:val="000000"/>
      <w:kern w:val="44"/>
      <w:sz w:val="44"/>
      <w:szCs w:val="24"/>
    </w:rPr>
  </w:style>
  <w:style w:type="character" w:customStyle="1" w:styleId="24">
    <w:name w:val="正文文本缩进 2 字符"/>
    <w:basedOn w:val="17"/>
    <w:link w:val="9"/>
    <w:qFormat/>
    <w:uiPriority w:val="0"/>
    <w:rPr>
      <w:rFonts w:hint="default" w:ascii="Times New Roman" w:hAnsi="Times New Roman" w:cs="Times New Roman"/>
      <w:color w:val="000000"/>
      <w:kern w:val="2"/>
      <w:sz w:val="24"/>
      <w:szCs w:val="24"/>
    </w:rPr>
  </w:style>
  <w:style w:type="character" w:customStyle="1" w:styleId="25">
    <w:name w:val="标题 3 字符"/>
    <w:basedOn w:val="17"/>
    <w:link w:val="4"/>
    <w:qFormat/>
    <w:uiPriority w:val="0"/>
    <w:rPr>
      <w:rFonts w:hint="eastAsia" w:ascii="黑体" w:hAnsi="宋体" w:eastAsia="黑体" w:cs="Times New Roman"/>
      <w:b/>
      <w:color w:val="000000"/>
      <w:kern w:val="2"/>
      <w:sz w:val="28"/>
      <w:szCs w:val="24"/>
    </w:rPr>
  </w:style>
  <w:style w:type="paragraph" w:customStyle="1" w:styleId="26">
    <w:name w:val="图片"/>
    <w:basedOn w:val="1"/>
    <w:qFormat/>
    <w:uiPriority w:val="0"/>
    <w:pPr>
      <w:ind w:left="0" w:leftChars="0"/>
      <w:jc w:val="center"/>
    </w:pPr>
    <w:rPr>
      <w:rFonts w:hint="eastAsia" w:ascii="宋体" w:hAnsi="宋体" w:cs="Times New Roman"/>
      <w:lang w:bidi="ar"/>
    </w:rPr>
  </w:style>
  <w:style w:type="paragraph" w:customStyle="1" w:styleId="27">
    <w:name w:val="图注"/>
    <w:basedOn w:val="1"/>
    <w:link w:val="28"/>
    <w:qFormat/>
    <w:uiPriority w:val="0"/>
    <w:pPr>
      <w:keepNext/>
      <w:keepLines/>
      <w:spacing w:before="50" w:beforeLines="50" w:after="50" w:afterLines="50" w:line="411" w:lineRule="auto"/>
      <w:ind w:left="0" w:leftChars="0"/>
      <w:jc w:val="center"/>
      <w:outlineLvl w:val="2"/>
    </w:pPr>
    <w:rPr>
      <w:rFonts w:hint="eastAsia" w:ascii="宋体" w:hAnsi="宋体" w:cs="Times New Roman"/>
      <w:b/>
      <w:lang w:bidi="ar"/>
    </w:rPr>
  </w:style>
  <w:style w:type="character" w:customStyle="1" w:styleId="28">
    <w:name w:val="图注 Char"/>
    <w:link w:val="27"/>
    <w:qFormat/>
    <w:uiPriority w:val="0"/>
    <w:rPr>
      <w:rFonts w:hint="eastAsia" w:ascii="宋体" w:hAnsi="宋体" w:cs="Times New Roman"/>
      <w:b/>
      <w:lang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28.bin"/><Relationship Id="rId94" Type="http://schemas.openxmlformats.org/officeDocument/2006/relationships/image" Target="media/image59.wmf"/><Relationship Id="rId93" Type="http://schemas.openxmlformats.org/officeDocument/2006/relationships/oleObject" Target="embeddings/oleObject27.bin"/><Relationship Id="rId92" Type="http://schemas.openxmlformats.org/officeDocument/2006/relationships/image" Target="media/image58.wmf"/><Relationship Id="rId91" Type="http://schemas.openxmlformats.org/officeDocument/2006/relationships/oleObject" Target="embeddings/oleObject26.bin"/><Relationship Id="rId90" Type="http://schemas.openxmlformats.org/officeDocument/2006/relationships/image" Target="media/image57.png"/><Relationship Id="rId9" Type="http://schemas.openxmlformats.org/officeDocument/2006/relationships/image" Target="media/image1.png"/><Relationship Id="rId89" Type="http://schemas.openxmlformats.org/officeDocument/2006/relationships/image" Target="media/image56.png"/><Relationship Id="rId88" Type="http://schemas.openxmlformats.org/officeDocument/2006/relationships/image" Target="media/image55.jpeg"/><Relationship Id="rId87" Type="http://schemas.openxmlformats.org/officeDocument/2006/relationships/image" Target="media/image54.jpeg"/><Relationship Id="rId86" Type="http://schemas.openxmlformats.org/officeDocument/2006/relationships/image" Target="media/image53.png"/><Relationship Id="rId85" Type="http://schemas.openxmlformats.org/officeDocument/2006/relationships/image" Target="media/image52.jpeg"/><Relationship Id="rId84" Type="http://schemas.openxmlformats.org/officeDocument/2006/relationships/image" Target="media/image51.jpeg"/><Relationship Id="rId83" Type="http://schemas.openxmlformats.org/officeDocument/2006/relationships/image" Target="media/image50.jpeg"/><Relationship Id="rId82" Type="http://schemas.openxmlformats.org/officeDocument/2006/relationships/image" Target="media/image49.jpeg"/><Relationship Id="rId81" Type="http://schemas.openxmlformats.org/officeDocument/2006/relationships/image" Target="media/image48.jpeg"/><Relationship Id="rId80" Type="http://schemas.openxmlformats.org/officeDocument/2006/relationships/image" Target="media/image47.jpeg"/><Relationship Id="rId8" Type="http://schemas.openxmlformats.org/officeDocument/2006/relationships/theme" Target="theme/theme1.xml"/><Relationship Id="rId79" Type="http://schemas.openxmlformats.org/officeDocument/2006/relationships/image" Target="media/image46.jpeg"/><Relationship Id="rId78" Type="http://schemas.openxmlformats.org/officeDocument/2006/relationships/image" Target="media/image45.jpeg"/><Relationship Id="rId77" Type="http://schemas.openxmlformats.org/officeDocument/2006/relationships/image" Target="media/image44.jpeg"/><Relationship Id="rId76" Type="http://schemas.openxmlformats.org/officeDocument/2006/relationships/image" Target="media/image43.jpeg"/><Relationship Id="rId75" Type="http://schemas.openxmlformats.org/officeDocument/2006/relationships/image" Target="media/image42.jpeg"/><Relationship Id="rId74" Type="http://schemas.openxmlformats.org/officeDocument/2006/relationships/image" Target="media/image41.jpeg"/><Relationship Id="rId73" Type="http://schemas.openxmlformats.org/officeDocument/2006/relationships/image" Target="media/image40.jpeg"/><Relationship Id="rId72" Type="http://schemas.openxmlformats.org/officeDocument/2006/relationships/image" Target="media/image39.jpeg"/><Relationship Id="rId71" Type="http://schemas.openxmlformats.org/officeDocument/2006/relationships/image" Target="media/image38.jpeg"/><Relationship Id="rId70" Type="http://schemas.openxmlformats.org/officeDocument/2006/relationships/image" Target="media/image37.png"/><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wmf"/><Relationship Id="rId30" Type="http://schemas.openxmlformats.org/officeDocument/2006/relationships/oleObject" Target="embeddings/oleObject7.bin"/><Relationship Id="rId3" Type="http://schemas.openxmlformats.org/officeDocument/2006/relationships/footnotes" Target="footnotes.xml"/><Relationship Id="rId29" Type="http://schemas.openxmlformats.org/officeDocument/2006/relationships/image" Target="media/image15.wmf"/><Relationship Id="rId28" Type="http://schemas.openxmlformats.org/officeDocument/2006/relationships/oleObject" Target="embeddings/oleObject6.bin"/><Relationship Id="rId27" Type="http://schemas.openxmlformats.org/officeDocument/2006/relationships/image" Target="media/image14.wmf"/><Relationship Id="rId26" Type="http://schemas.openxmlformats.org/officeDocument/2006/relationships/oleObject" Target="embeddings/oleObject5.bin"/><Relationship Id="rId25" Type="http://schemas.openxmlformats.org/officeDocument/2006/relationships/image" Target="media/image13.wmf"/><Relationship Id="rId24" Type="http://schemas.openxmlformats.org/officeDocument/2006/relationships/oleObject" Target="embeddings/oleObject4.bin"/><Relationship Id="rId23" Type="http://schemas.openxmlformats.org/officeDocument/2006/relationships/image" Target="media/image12.png"/><Relationship Id="rId22" Type="http://schemas.openxmlformats.org/officeDocument/2006/relationships/image" Target="media/image11.wmf"/><Relationship Id="rId21" Type="http://schemas.openxmlformats.org/officeDocument/2006/relationships/oleObject" Target="embeddings/oleObject3.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wmf"/><Relationship Id="rId17" Type="http://schemas.openxmlformats.org/officeDocument/2006/relationships/oleObject" Target="embeddings/oleObject1.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70.png"/><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7398</Words>
  <Characters>9595</Characters>
  <Lines>659</Lines>
  <Paragraphs>531</Paragraphs>
  <TotalTime>39</TotalTime>
  <ScaleCrop>false</ScaleCrop>
  <LinksUpToDate>false</LinksUpToDate>
  <CharactersWithSpaces>10155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2026-09-22T12:44:00Z</dcterms:created>
  <dc:creator>Sky-Fly</dc:creator>
  <cp:lastModifiedBy>Sky-Fly</cp:lastModifiedBy>
  <dcterms:modified xsi:type="dcterms:W3CDTF">2026-09-22T14:17:43Z</dcterms:modified>
  <dc:subject>研究报告（实验验证部分留空）</dc:subject>
  <dc:title>激光耦合仿真系统及智能优化平台研究报告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3CA144643D494E94BBCB9BFC78B32381_13</vt:lpwstr>
  </property>
  <property fmtid="{D5CDD505-2E9C-101B-9397-08002B2CF9AE}" pid="4" name="KSOTemplateDocerSaveRecord">
    <vt:lpwstr>eyJoZGlkIjoiNmFmZGRiM2MwNjBlM2ZiZjk5MjY4ZmM1NWE1ZDdlYmIiLCJ1c2VySWQiOiIxMTk2NzEyODA5In0=</vt:lpwstr>
  </property>
</Properties>
</file>