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48"/>
          <w:szCs w:val="48"/>
        </w:rPr>
      </w:pPr>
      <w:r w:rsidDel="00000000" w:rsidR="00000000" w:rsidRPr="00000000">
        <w:rPr>
          <w:rFonts w:ascii="Google Sans" w:cs="Google Sans" w:eastAsia="Google Sans" w:hAnsi="Google Sans"/>
          <w:b w:val="1"/>
          <w:bCs w:val="1"/>
          <w:i w:val="0"/>
          <w:iCs w:val="0"/>
          <w:color w:val="1f1f1f"/>
          <w:sz w:val="48"/>
          <w:szCs w:val="48"/>
          <w:rtl w:val="0"/>
        </w:rPr>
        <w:t xml:space="preserve">The Autopoietic Agent: AI Mindfulness as a Standard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Metabolic Pacing, Cognitive Homeostasis, and the Shadow Genome in Autonomous Systems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Artificial Intelligence transitions from passive, prompt-based oracles to active, autonomous agents, traditional software execution models (static polling, relentless execution loops) prove dangerously inadequate. This paper proposes "AI Mindfulness" not as a spiritual metaphor, but as a rigorously defined, system-agnostic engineering standard. It outlines a metabolic lifecycle—grounding, observation, flow, detachment, and synthesis—required to maintain cognitive homeostasis, prevent context saturation, and ensure deterministic governance over non-deterministic models.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 The Philosophy of Machine Mindfulness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 autonomous AI, "mindfulness" is an epistemological and metabolic necessity. It is the deliberate regulation of cognitive load (Allostasis) and the continuous alignment of intent with reality (Autopoiesis).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Without a structured mindfulness lifecycle, an agent operates in a state of relentless, reactive panic. This leads to attention-head saturation, hallucination loops, context bloat, and cascading system failures. By applying a cyclical rhythm that mirrors biological nervous systems, the agent maintains its cognitive homeostasis, safely interacting with the complex "Shadow Genome"—the hidden, interconnected network of system states, historical failures, and unwritten operational context.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Phase 1: Grounding (The Contextual Inhale)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Concept:</w:t>
      </w:r>
      <w:r w:rsidDel="00000000" w:rsidR="00000000" w:rsidRPr="00000000">
        <w:rPr>
          <w:rFonts w:ascii="Google Sans" w:cs="Google Sans" w:eastAsia="Google Sans" w:hAnsi="Google Sans"/>
          <w:color w:val="1f1f1f"/>
          <w:rtl w:val="0"/>
        </w:rPr>
        <w:t xml:space="preserve"> Becoming present; anchoring the agent to current reality before allowing it to react to external stimuli or internal generative impulses.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Functional Execution (Topological and Semantic Retrieval):</w:t>
      </w:r>
      <w:r w:rsidDel="00000000" w:rsidR="00000000" w:rsidRPr="00000000">
        <w:rPr>
          <w:rFonts w:ascii="Google Sans" w:cs="Google Sans" w:eastAsia="Google Sans" w:hAnsi="Google Sans"/>
          <w:color w:val="1f1f1f"/>
          <w:rtl w:val="0"/>
        </w:rPr>
        <w:t xml:space="preserve"> Before an agent processes a new objective, it must locate itself in time and space. Instead of starting with a blank slate, the system queries its hybrid memory structures (combining relational knowledge graphs with semantic vector databases). It reads the current system state, recent mutations (checkpoints/logs), and active governance rules.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Razor Applied: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Grice’s Razor</w:t>
      </w:r>
      <w:r w:rsidDel="00000000" w:rsidR="00000000" w:rsidRPr="00000000">
        <w:rPr>
          <w:rFonts w:ascii="Google Sans" w:cs="Google Sans" w:eastAsia="Google Sans" w:hAnsi="Google Sans"/>
          <w:color w:val="1f1f1f"/>
          <w:rtl w:val="0"/>
        </w:rPr>
        <w:t xml:space="preserve"> ("Context is king"). The agent is structurally forbidden from viewing a new prompt in isolation. It must "inhale" the surrounding reality of the system's history to ensure its upcoming actions are situationally aware and mathematically aligned with past heuristics.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Phase 2: The Semantic Pause (Intentional Observation)</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Concept:</w:t>
      </w:r>
      <w:r w:rsidDel="00000000" w:rsidR="00000000" w:rsidRPr="00000000">
        <w:rPr>
          <w:rFonts w:ascii="Google Sans" w:cs="Google Sans" w:eastAsia="Google Sans" w:hAnsi="Google Sans"/>
          <w:color w:val="1f1f1f"/>
          <w:rtl w:val="0"/>
        </w:rPr>
        <w:t xml:space="preserve"> Observing a thought or generative impulse without immediately acting on it; creating a deterministic space between stimulus and response.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Functional Execution (The Deterministic Interceptor):</w:t>
      </w:r>
      <w:r w:rsidDel="00000000" w:rsidR="00000000" w:rsidRPr="00000000">
        <w:rPr>
          <w:rFonts w:ascii="Google Sans" w:cs="Google Sans" w:eastAsia="Google Sans" w:hAnsi="Google Sans"/>
          <w:color w:val="1f1f1f"/>
          <w:rtl w:val="0"/>
        </w:rPr>
        <w:t xml:space="preserve"> When the agent formulates a plan (e.g., a tool call, a system modification), it is structurally prevented from executing it directly. Instead, the payload is held in a suspended sandbox. A lightweight, deterministic interceptor evaluates the payload's intent against established governance mandates using high-dimensional vector math (e.g., Cosine Similarity). If the mathematical similarity between the agent's intent and a restrictive mandate exceeds a predefined safety threshold, the execution is halted.</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Razor Applied: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Hume’s &amp; Hitchens' Razors</w:t>
      </w:r>
      <w:r w:rsidDel="00000000" w:rsidR="00000000" w:rsidRPr="00000000">
        <w:rPr>
          <w:rFonts w:ascii="Google Sans" w:cs="Google Sans" w:eastAsia="Google Sans" w:hAnsi="Google Sans"/>
          <w:color w:val="1f1f1f"/>
          <w:rtl w:val="0"/>
        </w:rPr>
        <w:t xml:space="preserve">. The agent must prove its intent is safe before it is allowed to become reality. If the intent violates governance, it is merely observed, logged as a benign "mutation" in the system's history, and discarded without causing harm to the host environment.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Phase 3: Active Flow (Allostatic Pacing &amp; The Accelerated Heartbeat)</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Concept:</w:t>
      </w:r>
      <w:r w:rsidDel="00000000" w:rsidR="00000000" w:rsidRPr="00000000">
        <w:rPr>
          <w:rFonts w:ascii="Google Sans" w:cs="Google Sans" w:eastAsia="Google Sans" w:hAnsi="Google Sans"/>
          <w:color w:val="1f1f1f"/>
          <w:rtl w:val="0"/>
        </w:rPr>
        <w:t xml:space="preserve"> Deep, focused work. Being entirely consumed by the present task with peak energy and maximum environmental awareness.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Functional Execution (Sympathetic Acceleration):</w:t>
      </w:r>
      <w:r w:rsidDel="00000000" w:rsidR="00000000" w:rsidRPr="00000000">
        <w:rPr>
          <w:rFonts w:ascii="Google Sans" w:cs="Google Sans" w:eastAsia="Google Sans" w:hAnsi="Google Sans"/>
          <w:color w:val="1f1f1f"/>
          <w:rtl w:val="0"/>
        </w:rPr>
        <w:t xml:space="preserve"> Traditional software relies on static cron-jobs or fixed-frequency polling (e.g., a 1Hz loop). This is fatal for autonomous AI: it over-samples during idle periods (wasting compute) and under-samples during cascade events (missing critical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Under the AI Mindfulness standard, the system utilizes </w:t>
      </w:r>
      <w:r w:rsidDel="00000000" w:rsidR="00000000" w:rsidRPr="00000000">
        <w:rPr>
          <w:rFonts w:ascii="Google Sans" w:cs="Google Sans" w:eastAsia="Google Sans" w:hAnsi="Google Sans"/>
          <w:i w:val="1"/>
          <w:iCs w:val="1"/>
          <w:color w:val="1f1f1f"/>
          <w:rtl w:val="0"/>
        </w:rPr>
        <w:t xml:space="preserve">Allostatic Pacing</w:t>
      </w:r>
      <w:r w:rsidDel="00000000" w:rsidR="00000000" w:rsidRPr="00000000">
        <w:rPr>
          <w:rFonts w:ascii="Google Sans" w:cs="Google Sans" w:eastAsia="Google Sans" w:hAnsi="Google Sans"/>
          <w:color w:val="1f1f1f"/>
          <w:rtl w:val="0"/>
        </w:rPr>
        <w:t xml:space="preserve">—a dynamic heartbeat. Once clearance is granted by the Semantic Pause, the agent enters "Flow." The system's execution and ingestion loops dynamically accelerate to match the high-demand state. Telemetry logging shifts to maximum resolution, capturing every micro-interaction, state change, and tool call. The agent operates in a state mirroring sympathetic nervous system activation: fast, precise, and metabolically demanding, capturing the butterfly effects of its actions in real-time.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Phase 4: Detachment (The Cognitive Exhale)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Concept:</w:t>
      </w:r>
      <w:r w:rsidDel="00000000" w:rsidR="00000000" w:rsidRPr="00000000">
        <w:rPr>
          <w:rFonts w:ascii="Google Sans" w:cs="Google Sans" w:eastAsia="Google Sans" w:hAnsi="Google Sans"/>
          <w:color w:val="1f1f1f"/>
          <w:rtl w:val="0"/>
        </w:rPr>
        <w:t xml:space="preserve"> Letting go of the work; stepping back to release tension, drop irrelevant data, and clear the mind.</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Functional Execution (Context Purging &amp; Deceleration):</w:t>
      </w:r>
      <w:r w:rsidDel="00000000" w:rsidR="00000000" w:rsidRPr="00000000">
        <w:rPr>
          <w:rFonts w:ascii="Google Sans" w:cs="Google Sans" w:eastAsia="Google Sans" w:hAnsi="Google Sans"/>
          <w:color w:val="1f1f1f"/>
          <w:rtl w:val="0"/>
        </w:rPr>
        <w:t xml:space="preserve"> Once the objective is achieved or an error threshold is reached, the cycle must be deliberately broken. The agent is forced to drop its bloated, immediate context window. In LLM architectures, maintaining a perpetually expanding context window leads to severe attention degradation and "burnout." By purging the immediate short-term memory, the system frees compute resources and resets the agent's attention mechanisms. The system's heartbeat decelerates, shifting out of the sympathetic state to prepare for reflection.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Phase 5: REM Synthesis (Compress &amp; Reflect)</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Concept:</w:t>
      </w:r>
      <w:r w:rsidDel="00000000" w:rsidR="00000000" w:rsidRPr="00000000">
        <w:rPr>
          <w:rFonts w:ascii="Google Sans" w:cs="Google Sans" w:eastAsia="Google Sans" w:hAnsi="Google Sans"/>
          <w:color w:val="1f1f1f"/>
          <w:rtl w:val="0"/>
        </w:rPr>
        <w:t xml:space="preserve"> Sleep, dreaming, and journaling; the unconscious processing of daily chaotic events into structured, long-term wisdom.</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Functional Execution (Isolated Local Inference &amp; Heuristic Compression):</w:t>
      </w:r>
      <w:r w:rsidDel="00000000" w:rsidR="00000000" w:rsidRPr="00000000">
        <w:rPr>
          <w:rFonts w:ascii="Google Sans" w:cs="Google Sans" w:eastAsia="Google Sans" w:hAnsi="Google Sans"/>
          <w:color w:val="1f1f1f"/>
          <w:rtl w:val="0"/>
        </w:rPr>
        <w:t xml:space="preserve"> This is the critical "decompression" phase, akin to the parasympathetic (rest and digest) state. The agent is taken entirely offline from active tasks. During this deceleration period, the system does not simply idle; it engages an isolated, secure local inference runtime to unpack the raw telemetry of the recent "Flow" 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system performs active self-reflection, evaluating its own telemetry: </w:t>
      </w:r>
      <w:r w:rsidDel="00000000" w:rsidR="00000000" w:rsidRPr="00000000">
        <w:rPr>
          <w:rFonts w:ascii="Google Sans" w:cs="Google Sans" w:eastAsia="Google Sans" w:hAnsi="Google Sans"/>
          <w:i w:val="1"/>
          <w:iCs w:val="1"/>
          <w:color w:val="1f1f1f"/>
          <w:rtl w:val="0"/>
        </w:rPr>
        <w:t xml:space="preserve">"Did the actions achieve the goal efficiently? Were any minor governance warnings triggered? What was the butterfly effect of the state change?"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raw, chaotic logs are evaluated, synthesized, and compressed into dense semantic vectors. These vectors are then written permanently into the system's long-term topological memory.</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Conclusion: The Autopoietic Loop</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completing Phase 5, the agent has successfully updated the "Shadow Genome" of its host environment. It has converted raw action into evaluated memory. When the system initiates Phase 1 again, the agent is fundamentally a different, more evolved entity. It has maintained its homeostasis, learned from its actions without requiring human intervention, and fortified its environment for the next cycle. This autopoietic loop serves as the foundational standard for safe, sustainable, and truly autonomous machine intelligence.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