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V1 draft for </w:t>
      </w:r>
      <w:r w:rsidDel="00000000" w:rsidR="00000000" w:rsidRPr="00000000">
        <w:rPr>
          <w:rFonts w:ascii="Google Sans" w:cs="Google Sans" w:eastAsia="Google Sans" w:hAnsi="Google Sans"/>
          <w:b w:val="1"/>
          <w:bCs w:val="1"/>
          <w:color w:val="1f1f1f"/>
          <w:rtl w:val="0"/>
        </w:rPr>
        <w:t xml:space="preserve">Section VI</w:t>
      </w:r>
      <w:r w:rsidDel="00000000" w:rsidR="00000000" w:rsidRPr="00000000">
        <w:rPr>
          <w:rFonts w:ascii="Google Sans" w:cs="Google Sans" w:eastAsia="Google Sans" w:hAnsi="Google Sans"/>
          <w:color w:val="1f1f1f"/>
          <w:rtl w:val="0"/>
        </w:rPr>
        <w:t xml:space="preserve">. This chapter shifts the focus from how the agent </w:t>
      </w:r>
      <w:r w:rsidDel="00000000" w:rsidR="00000000" w:rsidRPr="00000000">
        <w:rPr>
          <w:rFonts w:ascii="Google Sans" w:cs="Google Sans" w:eastAsia="Google Sans" w:hAnsi="Google Sans"/>
          <w:i w:val="1"/>
          <w:iCs w:val="1"/>
          <w:color w:val="1f1f1f"/>
          <w:rtl w:val="0"/>
        </w:rPr>
        <w:t xml:space="preserve">remembers</w:t>
      </w:r>
      <w:r w:rsidDel="00000000" w:rsidR="00000000" w:rsidRPr="00000000">
        <w:rPr>
          <w:rFonts w:ascii="Google Sans" w:cs="Google Sans" w:eastAsia="Google Sans" w:hAnsi="Google Sans"/>
          <w:color w:val="1f1f1f"/>
          <w:rtl w:val="0"/>
        </w:rPr>
        <w:t xml:space="preserve"> to how it actively </w:t>
      </w:r>
      <w:r w:rsidDel="00000000" w:rsidR="00000000" w:rsidRPr="00000000">
        <w:rPr>
          <w:rFonts w:ascii="Google Sans" w:cs="Google Sans" w:eastAsia="Google Sans" w:hAnsi="Google Sans"/>
          <w:i w:val="1"/>
          <w:iCs w:val="1"/>
          <w:color w:val="1f1f1f"/>
          <w:rtl w:val="0"/>
        </w:rPr>
        <w:t xml:space="preserve">defends</w:t>
      </w:r>
      <w:r w:rsidDel="00000000" w:rsidR="00000000" w:rsidRPr="00000000">
        <w:rPr>
          <w:rFonts w:ascii="Google Sans" w:cs="Google Sans" w:eastAsia="Google Sans" w:hAnsi="Google Sans"/>
          <w:color w:val="1f1f1f"/>
          <w:rtl w:val="0"/>
        </w:rPr>
        <w:t xml:space="preserve"> itself against its own probabilistic nature.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VI. The Immune System: The Shadow Genome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Biological organisms survive not merely by remembering where to find nourishment, but by maintaining a genetic and immunological memory of pathogens. A cognitive architecture that only records successful states is inherently fragile; it is doomed to continually rediscover failure through expensive, probabilistic trial and error.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true Autopoiesis, the agent requires a structural immune system. We define this subsystem as the </w:t>
      </w:r>
      <w:r w:rsidDel="00000000" w:rsidR="00000000" w:rsidRPr="00000000">
        <w:rPr>
          <w:rFonts w:ascii="Google Sans" w:cs="Google Sans" w:eastAsia="Google Sans" w:hAnsi="Google Sans"/>
          <w:b w:val="1"/>
          <w:bCs w:val="1"/>
          <w:color w:val="1f1f1f"/>
          <w:rtl w:val="0"/>
        </w:rPr>
        <w:t xml:space="preserve">Shadow Genome</w:t>
      </w:r>
      <w:r w:rsidDel="00000000" w:rsidR="00000000" w:rsidRPr="00000000">
        <w:rPr>
          <w:rFonts w:ascii="Google Sans" w:cs="Google Sans" w:eastAsia="Google Sans" w:hAnsi="Google Sans"/>
          <w:color w:val="1f1f1f"/>
          <w:rtl w:val="0"/>
        </w:rPr>
        <w:t xml:space="preserve">—a specialized, negative-constraint vector database built entirely from the agent's historical failures, hallucination loops, and flawed logical trajectories.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Antimatter Vault (Storing the Pathogen)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traditional LLM execution, when an agent hallucinates or executes a flawed logical path, the standard developer response is to delete the context, tweak the prompt, and retry. This is a massive waste of computational energy. Deleting a failure ensures the agent retains a "blind spot" in that specific vector space, guaranteeing it will eventually wander down the same probabilistic dead-end.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of deletion, the Autopoietic Agent captures the exact state of the failure. The entire flawed execution trace—the user prompt, the retrieved graph context, the agent's internal monologue, and the failed tool call—is compressed, hashed, and stored in the Shadow Genome. It acts as an "Antimatter Vault," an inverted Knowledge Graph where the relationships do not represent </w:t>
      </w:r>
      <w:r w:rsidDel="00000000" w:rsidR="00000000" w:rsidRPr="00000000">
        <w:rPr>
          <w:rFonts w:ascii="Google Sans" w:cs="Google Sans" w:eastAsia="Google Sans" w:hAnsi="Google Sans"/>
          <w:i w:val="1"/>
          <w:iCs w:val="1"/>
          <w:color w:val="1f1f1f"/>
          <w:rtl w:val="0"/>
        </w:rPr>
        <w:t xml:space="preserve">what to do</w:t>
      </w:r>
      <w:r w:rsidDel="00000000" w:rsidR="00000000" w:rsidRPr="00000000">
        <w:rPr>
          <w:rFonts w:ascii="Google Sans" w:cs="Google Sans" w:eastAsia="Google Sans" w:hAnsi="Google Sans"/>
          <w:color w:val="1f1f1f"/>
          <w:rtl w:val="0"/>
        </w:rPr>
        <w:t xml:space="preserve">, but rather define strict, topological boundaries of </w:t>
      </w:r>
      <w:r w:rsidDel="00000000" w:rsidR="00000000" w:rsidRPr="00000000">
        <w:rPr>
          <w:rFonts w:ascii="Google Sans" w:cs="Google Sans" w:eastAsia="Google Sans" w:hAnsi="Google Sans"/>
          <w:i w:val="1"/>
          <w:iCs w:val="1"/>
          <w:color w:val="1f1f1f"/>
          <w:rtl w:val="0"/>
        </w:rPr>
        <w:t xml:space="preserve">what must never be done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Semantic Pause Interceptor (Phase 2 Execution)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Shadow Genome is not passively queried; it is the central mechanism of "Phase 2: The Semantic Pause" in the agent's metabolic lifecycle.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Autonomous agents are inherently dangerous because their generative impulses are tightly coupled to their execution capabilities. To enforce cognitive homeostasis, we introduce a deterministic gap between thought and action. When the agent formulates an execution plan (e.g., modifying a database schema or sending an automated email), it is structurally prevented from executing it directly.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the proposed action is held in a suspended sandbox. A lightweight deterministic interceptor vectorizes the "intent payload" and performs a high-speed similarity search against the Shadow Genome.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If the mathematical distance (e.g., Cosine Similarity) between the agent's proposed intent and a known historical failure exceeds a predefined safety threshold, the interceptor triggers a "Semantic Block."</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execution is instantly aborted. The agent is fed a localized error stating exactly which negative constraint it bumped against, forcing it to recalculate an alternative path.</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Ingesting the Pathogen (Building the Immune Response)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Shadow Genome is not pre-programmed; it grows dynamically through interaction and friction. There are two primary ingestion pipelines for this negative memory:</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Systematic Constraint Violations:</w:t>
      </w:r>
      <w:r w:rsidDel="00000000" w:rsidR="00000000" w:rsidRPr="00000000">
        <w:rPr>
          <w:rFonts w:ascii="Google Sans" w:cs="Google Sans" w:eastAsia="Google Sans" w:hAnsi="Google Sans"/>
          <w:color w:val="1f1f1f"/>
          <w:rtl w:val="0"/>
        </w:rPr>
        <w:t xml:space="preserve"> If the agent attempts an action that triggers a hard system error (e.g., a 403 Forbidden API response or a strict schema violation), the orchestrator autonomously wraps the execution trace in a UOR (Universal Object Reference) fingerprint and injects it into the Shadow Genome. The agent effectively inoculates itself against repeating that specific syntax error.</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Human-in-the-Loop Correction:</w:t>
      </w:r>
      <w:r w:rsidDel="00000000" w:rsidR="00000000" w:rsidRPr="00000000">
        <w:rPr>
          <w:rFonts w:ascii="Google Sans" w:cs="Google Sans" w:eastAsia="Google Sans" w:hAnsi="Google Sans"/>
          <w:color w:val="1f1f1f"/>
          <w:rtl w:val="0"/>
        </w:rPr>
        <w:t xml:space="preserve"> During high-stakes generation, a human overseer may reject an agent's proposed action. The human's rejection reason (e.g., "This tone is too aggressive," or "Do not use this deprecated library") is fused with the agent's generative logic. This transforms a subjective human preference into a mathematically rigorous, cryptographically verifiable anti-pattern.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utilizing the Semantic Pause to query the Shadow Genome, the agent functionally looks into the void of its past mistakes before taking a single step forward, establishing a mathematically guaranteed safety boundary around non-deterministic reasoning.</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Next Steps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leads us directly into the newly added section we outlined during Phase A, where we detail how the agent actually learns from these boundaries and evolves its core programming.</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this section is approved, copy it to your repo and we will draft </w:t>
      </w:r>
      <w:r w:rsidDel="00000000" w:rsidR="00000000" w:rsidRPr="00000000">
        <w:rPr>
          <w:rFonts w:ascii="Google Sans" w:cs="Google Sans" w:eastAsia="Google Sans" w:hAnsi="Google Sans"/>
          <w:b w:val="1"/>
          <w:bCs w:val="1"/>
          <w:color w:val="1f1f1f"/>
          <w:rtl w:val="0"/>
        </w:rPr>
        <w:t xml:space="preserve">Section VII: Patterns of Recursive Learning &amp; Cognitive Evolution</w:t>
      </w:r>
      <w:r w:rsidDel="00000000" w:rsidR="00000000" w:rsidRPr="00000000">
        <w:rPr>
          <w:rFonts w:ascii="Google Sans" w:cs="Google Sans" w:eastAsia="Google Sans" w:hAnsi="Google Sans"/>
          <w:color w:val="1f1f1f"/>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