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for </w:t>
      </w:r>
      <w:r w:rsidDel="00000000" w:rsidR="00000000" w:rsidRPr="00000000">
        <w:rPr>
          <w:rFonts w:ascii="Google Sans" w:cs="Google Sans" w:eastAsia="Google Sans" w:hAnsi="Google Sans"/>
          <w:b w:val="1"/>
          <w:bCs w:val="1"/>
          <w:color w:val="1f1f1f"/>
          <w:rtl w:val="0"/>
        </w:rPr>
        <w:t xml:space="preserve">Section II</w:t>
      </w:r>
      <w:r w:rsidDel="00000000" w:rsidR="00000000" w:rsidRPr="00000000">
        <w:rPr>
          <w:rFonts w:ascii="Google Sans" w:cs="Google Sans" w:eastAsia="Google Sans" w:hAnsi="Google Sans"/>
          <w:color w:val="1f1f1f"/>
          <w:rtl w:val="0"/>
        </w:rPr>
        <w:t xml:space="preserve">. I have maintained the rigorous, academic tone while diving deep into the exact mechanical failures of modern agentic memory.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The Epistemological Flaws of Current Memory Structures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an autonomous agent capable of sustaining cognitive homeostasis, we must first dissect why current memory architectures fail. The prevailing approach to agentic memory relies heavily on Large Language Models (LLMs) tethered to standard Vector Databases and infinitely expanding context windows. While this architecture is sufficient for passive search and retrieval, it introduces catastrophic epistemological flaws when applied to autonomous execution. It fundamentally corrupts </w:t>
      </w:r>
      <w:r w:rsidDel="00000000" w:rsidR="00000000" w:rsidRPr="00000000">
        <w:rPr>
          <w:rFonts w:ascii="Google Sans" w:cs="Google Sans" w:eastAsia="Google Sans" w:hAnsi="Google Sans"/>
          <w:i w:val="1"/>
          <w:iCs w:val="1"/>
          <w:color w:val="1f1f1f"/>
          <w:rtl w:val="0"/>
        </w:rPr>
        <w:t xml:space="preserve">how the machine knows what it knows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structural failures can be categorized into three primary domains: Vector Fuzziness, Attention-Head Saturation, and Temporal Blindness.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Limits of Semantic Similarity (Vector Fuzziness)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retrieval-augmented systems encode knowledge as dense vector embeddings in high-dimensional space. Retrieval is governed by probabilistic mathematical proximity (e.g., cosine similarity). This creates a system that is exceptional at identifying semantic relationships but structurally incapable of deterministic certainty.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autonomous agent, this "Vector Fuzziness" is a fatal flaw. If a system-critical agent queries its memory for an exact operational protocol, a vector database will return the </w:t>
      </w:r>
      <w:r w:rsidDel="00000000" w:rsidR="00000000" w:rsidRPr="00000000">
        <w:rPr>
          <w:rFonts w:ascii="Google Sans" w:cs="Google Sans" w:eastAsia="Google Sans" w:hAnsi="Google Sans"/>
          <w:i w:val="1"/>
          <w:iCs w:val="1"/>
          <w:color w:val="1f1f1f"/>
          <w:rtl w:val="0"/>
        </w:rPr>
        <w:t xml:space="preserve">most mathematically similar</w:t>
      </w:r>
      <w:r w:rsidDel="00000000" w:rsidR="00000000" w:rsidRPr="00000000">
        <w:rPr>
          <w:rFonts w:ascii="Google Sans" w:cs="Google Sans" w:eastAsia="Google Sans" w:hAnsi="Google Sans"/>
          <w:color w:val="1f1f1f"/>
          <w:rtl w:val="0"/>
        </w:rPr>
        <w:t xml:space="preserve"> data chunks. This might include the actual protocol, but it may also retrieve an outdated draft of the protocol, a hypothetical discussion about the protocol, or a protocol for an entirely different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LLM operates probabilistically, it attempts to synthesize these "similar" vectors into a single coherent truth. This is the root cause of logical drift and hallucination loops. The agent relies on "closeness" rather than cryptographic exactness, building its execution logic on a foundation of approximations.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Attention-Head Saturation (The Hoarding Problem)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industry's primary solution to memory limitation has been brute force: expanding the LLM context window to hundreds of thousands of tokens. This approach misunderstands the nature of cognitive load. In an autonomous loop, simply feeding an agent more data does not equate to better reasoning; it triggers a phenomenon known as Attention-Head Saturation.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architectures operate like digital hoarders. Every retrieved memory, every past system log, and every transient thought process is appended to the active Cache-Augmented Generation (CAG) context. Because traditional vector databases lack a native "forgetting" mechanism or salience weighting, the agent treats a throwaway background log from three weeks ago with the same computational weight as its core system instructions.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context window bloats, the mathematical attention weights of the LLM become severely dispersed (often resulting in the "lost in the middle" retrieval failure). The signal-to-noise ratio collapses. The agent does not experience "learned forgetting"—the biological necessity of allowing irrelevant data to naturally fade. Instead, it suffers from cognitive burnout, losing the ability to isolate critical constraints within its own bloated mind.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Temporal Blindness &amp; Memory Poisoning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agents must inherently understand cause and effect. However, vector databases view memory as a flat circle; vectors do not possess an intrinsic, structural understanding of time, relying instead on metadata tags that LLMs routinely misinterpret.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agent's memory contains "User prefers Python" and a later entry "User prefers Rust," standard semantic retrieval will pull both facts simultaneously because they share identical conceptual neighborhoods. The agent is struck with "Temporal Blindness," forced to expend expensive inference compute to guess the correct causal timeline based on context clues, frequently failing and regressing to outdated system states.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flat, similarity-based retrieval creates a permanent attack vector: Memory Poisoning. If an agent ingests a maliciously crafted payload (e.g., a summarized webpage containing a prompt injection), that malicious vector sits dormant in the database. Weeks later, an entirely benign query might share a high semantic similarity with the poisoned data. The agent retrieves it, injecting the malicious command directly into its active flow state. Without a rigid, deterministic method to isolate and authenticate the origin of a memory, the agent treats compromised data with the exact same authority as its foundational programming.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chapter explicitly defines the "villains" of our architecture, setting the stage for Chapter III where we introduce GraphRAG and UOR as the solution.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ready to continue, copy this to your master repo, and just say the word to kick off </w:t>
      </w:r>
      <w:r w:rsidDel="00000000" w:rsidR="00000000" w:rsidRPr="00000000">
        <w:rPr>
          <w:rFonts w:ascii="Google Sans" w:cs="Google Sans" w:eastAsia="Google Sans" w:hAnsi="Google Sans"/>
          <w:b w:val="1"/>
          <w:bCs w:val="1"/>
          <w:color w:val="1f1f1f"/>
          <w:rtl w:val="0"/>
        </w:rPr>
        <w:t xml:space="preserve">Section III: The Foundational Architecture: UOR, GraphRAG, and CAG</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