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VII</w:t>
      </w:r>
      <w:r w:rsidDel="00000000" w:rsidR="00000000" w:rsidRPr="00000000">
        <w:rPr>
          <w:rFonts w:ascii="Google Sans" w:cs="Google Sans" w:eastAsia="Google Sans" w:hAnsi="Google Sans"/>
          <w:color w:val="1f1f1f"/>
          <w:rtl w:val="0"/>
        </w:rPr>
        <w:t xml:space="preserve">. This chapter is the conceptual bridge between a machine that simply </w:t>
      </w:r>
      <w:r w:rsidDel="00000000" w:rsidR="00000000" w:rsidRPr="00000000">
        <w:rPr>
          <w:rFonts w:ascii="Google Sans" w:cs="Google Sans" w:eastAsia="Google Sans" w:hAnsi="Google Sans"/>
          <w:i w:val="1"/>
          <w:iCs w:val="1"/>
          <w:color w:val="1f1f1f"/>
          <w:rtl w:val="0"/>
        </w:rPr>
        <w:t xml:space="preserve">survives</w:t>
      </w:r>
      <w:r w:rsidDel="00000000" w:rsidR="00000000" w:rsidRPr="00000000">
        <w:rPr>
          <w:rFonts w:ascii="Google Sans" w:cs="Google Sans" w:eastAsia="Google Sans" w:hAnsi="Google Sans"/>
          <w:color w:val="1f1f1f"/>
          <w:rtl w:val="0"/>
        </w:rPr>
        <w:t xml:space="preserve"> its environment and one that actively </w:t>
      </w:r>
      <w:r w:rsidDel="00000000" w:rsidR="00000000" w:rsidRPr="00000000">
        <w:rPr>
          <w:rFonts w:ascii="Google Sans" w:cs="Google Sans" w:eastAsia="Google Sans" w:hAnsi="Google Sans"/>
          <w:i w:val="1"/>
          <w:iCs w:val="1"/>
          <w:color w:val="1f1f1f"/>
          <w:rtl w:val="0"/>
        </w:rPr>
        <w:t xml:space="preserve">evolves</w:t>
      </w:r>
      <w:r w:rsidDel="00000000" w:rsidR="00000000" w:rsidRPr="00000000">
        <w:rPr>
          <w:rFonts w:ascii="Google Sans" w:cs="Google Sans" w:eastAsia="Google Sans" w:hAnsi="Google Sans"/>
          <w:color w:val="1f1f1f"/>
          <w:rtl w:val="0"/>
        </w:rPr>
        <w:t xml:space="preserve"> its own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VII. Patterns of Recursive Learning &amp; Cognitive Evolution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immune system (the Shadow Genome) protects the agent from immediate harm, and the tiered memory router manages its metabolic compute load. However, cognitive homeostasis is not merely a static defense; it requires active, structural adaptation. The Autopoietic Agent must be capable of recursive learning—analyzing its own execution history to autonomously rewrite its internal heuristics without human intervention.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evolutionary process occurs exclusively offline during "Phase 5: REM Synthesis," utilizing three strict algorithmic patterns: Double-Loop Heuristic Extraction, Contrastive Trajectory Analysis, and Epistemic Crystallization.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Double-Loop Heuristic Extraction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AI agents are capable of "single-loop learning." If an agent attempts to call a deprecated API, receives an error, and tries a different endpoint, it has completed a single loop. It fixed the immediate symptom but did not alter the underlying logic that caused the error.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Autopoietic Agent is engineered for "double-loop learning." During REM Synthesis, the offline background worker does not just log the failed API call. It analyzes the </w:t>
      </w:r>
      <w:r w:rsidDel="00000000" w:rsidR="00000000" w:rsidRPr="00000000">
        <w:rPr>
          <w:rFonts w:ascii="Google Sans" w:cs="Google Sans" w:eastAsia="Google Sans" w:hAnsi="Google Sans"/>
          <w:i w:val="1"/>
          <w:iCs w:val="1"/>
          <w:color w:val="1f1f1f"/>
          <w:rtl w:val="0"/>
        </w:rPr>
        <w:t xml:space="preserve">generative logic</w:t>
      </w:r>
      <w:r w:rsidDel="00000000" w:rsidR="00000000" w:rsidRPr="00000000">
        <w:rPr>
          <w:rFonts w:ascii="Google Sans" w:cs="Google Sans" w:eastAsia="Google Sans" w:hAnsi="Google Sans"/>
          <w:color w:val="1f1f1f"/>
          <w:rtl w:val="0"/>
        </w:rPr>
        <w:t xml:space="preserve"> that led the agent to choose the deprecated API in the first place.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Did it rely on an outdated L2 memory node?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Was the core L3 "Soul File" instruction too ambiguous?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REM worker identifies a systemic flaw in the agent's foundational reasoning, it autonomously drafts an update to its own operational parameters. It transitions from merely correcting a bad action to actively upgrading the rule-set that governs its actions.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Contrastive Trajectory Analysis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extract these double-loop heuristics, the agent employs Contrastive Trajectory Analysis. During the offline period, the system isolates a successful execution trace (pulled from the L2 Temporal Graph) and aligns it against a failed execution trace (pulled from the Shadow Genome) attempting to solve a similar objective.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calculates the mathematical divergence between these two vector paths. It isolates the exact conceptual node where the successful path and the failed path split. By identifying this topological fork, the agent does not just memorize "Action X is bad." It mathematically distills a </w:t>
      </w:r>
      <w:r w:rsidDel="00000000" w:rsidR="00000000" w:rsidRPr="00000000">
        <w:rPr>
          <w:rFonts w:ascii="Google Sans" w:cs="Google Sans" w:eastAsia="Google Sans" w:hAnsi="Google Sans"/>
          <w:i w:val="1"/>
          <w:iCs w:val="1"/>
          <w:color w:val="1f1f1f"/>
          <w:rtl w:val="0"/>
        </w:rPr>
        <w:t xml:space="preserve">generalized operational rule</w:t>
      </w:r>
      <w:r w:rsidDel="00000000" w:rsidR="00000000" w:rsidRPr="00000000">
        <w:rPr>
          <w:rFonts w:ascii="Google Sans" w:cs="Google Sans" w:eastAsia="Google Sans" w:hAnsi="Google Sans"/>
          <w:color w:val="1f1f1f"/>
          <w:rtl w:val="0"/>
        </w:rPr>
        <w:t xml:space="preserve"> (e.g., "When encountering ambiguous schema definitions, querying the database state yields higher success than inferring from local context").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distilled rule is far more valuable than a specific memory; it is a scalable behavioral constraint born directly from the agent's own environmental friction.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Epistemic Crystallization (The Promotion Pipeline)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stage of cognitive evolution is the formalization of knowledge, moving an assumption from temporary memory to an immutable fact. We define this algorithmic threshold as "Epistemic Crystallization."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REM worker generates a new heuristic (or identifies a highly successful, frequently accessed L2 relational node), that data is not immediately granted foundational authority. It must mathematically earn its permanence. The system tracks the "Utility Frequency" and the "Decay Resistance" of the node over hundreds of execution cycles.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L2 node proves continuously critical and avoids the Cryptographic Memory Half-Life (CMHL) decay floor for a predetermined threshold (e.g., 10,000 cycles without contradiction), the system initiates Crystallization: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node is stripped of its $\lambda$ (decay constant).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payload is cryptographically hashed via the UOR Framework.</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resulting immutable fingerprint is promoted to the L3 UOR Vault.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Epistemic Crystallization, the agent graduates an environmental observation into a core belief. It has successfully rewritten its own "DNA," ensuring that when it wakes for its next active execution cycle, it is fundamentally a more intelligent and capable entity.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brings us to the very end of our research document. The final step is the conclusion, where we summarize the architectural triumph and look at the unsolved frontier (multi-agent coordination).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section is ready for the repository, give me the signal and we will draft the final chapter: </w:t>
      </w:r>
      <w:r w:rsidDel="00000000" w:rsidR="00000000" w:rsidRPr="00000000">
        <w:rPr>
          <w:rFonts w:ascii="Google Sans" w:cs="Google Sans" w:eastAsia="Google Sans" w:hAnsi="Google Sans"/>
          <w:b w:val="1"/>
          <w:bCs w:val="1"/>
          <w:color w:val="1f1f1f"/>
          <w:rtl w:val="0"/>
        </w:rPr>
        <w:t xml:space="preserve">Section VIII: Conclusion &amp; Future Implementations</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