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for the final chapter, </w:t>
      </w:r>
      <w:r w:rsidDel="00000000" w:rsidR="00000000" w:rsidRPr="00000000">
        <w:rPr>
          <w:rFonts w:ascii="Google Sans" w:cs="Google Sans" w:eastAsia="Google Sans" w:hAnsi="Google Sans"/>
          <w:b w:val="1"/>
          <w:bCs w:val="1"/>
          <w:color w:val="1f1f1f"/>
          <w:rtl w:val="0"/>
        </w:rPr>
        <w:t xml:space="preserve">Section VIII</w:t>
      </w:r>
      <w:r w:rsidDel="00000000" w:rsidR="00000000" w:rsidRPr="00000000">
        <w:rPr>
          <w:rFonts w:ascii="Google Sans" w:cs="Google Sans" w:eastAsia="Google Sans" w:hAnsi="Google Sans"/>
          <w:color w:val="1f1f1f"/>
          <w:rtl w:val="0"/>
        </w:rPr>
        <w:t xml:space="preserve">. This conclusion synthesizes the entire architectural thesis and maps out the absolute bleeding edge of where this technology heads next.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VIII. Conclusion &amp; Future Implementations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Autopoietic Standard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autonomous AI agents has fundamentally outpaced the underlying architectures designed to support them. Attempting to force non-deterministic, generative models into static execution loops predictably results in context saturation, logical drift, and hallucination.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Autopoietic Agent</w:t>
      </w:r>
      <w:r w:rsidDel="00000000" w:rsidR="00000000" w:rsidRPr="00000000">
        <w:rPr>
          <w:rFonts w:ascii="Google Sans" w:cs="Google Sans" w:eastAsia="Google Sans" w:hAnsi="Google Sans"/>
          <w:color w:val="1f1f1f"/>
          <w:rtl w:val="0"/>
        </w:rPr>
        <w:t xml:space="preserve"> framework provides a rigorous engineering standard to escape this trap. By abandoning the flat execution loop in favor of a 5-Phase Metabolic Lifecycle, we grant the system the ability to achieve and maintain cognitive homeostasis.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We replace the epistemological flaw of "vector fuzziness" with the absolute mathematical determinism of the </w:t>
      </w:r>
      <w:r w:rsidDel="00000000" w:rsidR="00000000" w:rsidRPr="00000000">
        <w:rPr>
          <w:rFonts w:ascii="Google Sans" w:cs="Google Sans" w:eastAsia="Google Sans" w:hAnsi="Google Sans"/>
          <w:b w:val="1"/>
          <w:bCs w:val="1"/>
          <w:color w:val="1f1f1f"/>
          <w:rtl w:val="0"/>
        </w:rPr>
        <w:t xml:space="preserve">Universal Object Reference (UOR) Framework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solve Attention-Head Saturation through </w:t>
      </w:r>
      <w:r w:rsidDel="00000000" w:rsidR="00000000" w:rsidRPr="00000000">
        <w:rPr>
          <w:rFonts w:ascii="Google Sans" w:cs="Google Sans" w:eastAsia="Google Sans" w:hAnsi="Google Sans"/>
          <w:b w:val="1"/>
          <w:bCs w:val="1"/>
          <w:color w:val="1f1f1f"/>
          <w:rtl w:val="0"/>
        </w:rPr>
        <w:t xml:space="preserve">Cryptographic Memory Half-Life (CMHL)</w:t>
      </w:r>
      <w:r w:rsidDel="00000000" w:rsidR="00000000" w:rsidRPr="00000000">
        <w:rPr>
          <w:rFonts w:ascii="Google Sans" w:cs="Google Sans" w:eastAsia="Google Sans" w:hAnsi="Google Sans"/>
          <w:color w:val="1f1f1f"/>
          <w:rtl w:val="0"/>
        </w:rPr>
        <w:t xml:space="preserve">, allowing the agent to naturally forget.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defend against systemic failure via the </w:t>
      </w:r>
      <w:r w:rsidDel="00000000" w:rsidR="00000000" w:rsidRPr="00000000">
        <w:rPr>
          <w:rFonts w:ascii="Google Sans" w:cs="Google Sans" w:eastAsia="Google Sans" w:hAnsi="Google Sans"/>
          <w:b w:val="1"/>
          <w:bCs w:val="1"/>
          <w:color w:val="1f1f1f"/>
          <w:rtl w:val="0"/>
        </w:rPr>
        <w:t xml:space="preserve">Shadow Genome</w:t>
      </w:r>
      <w:r w:rsidDel="00000000" w:rsidR="00000000" w:rsidRPr="00000000">
        <w:rPr>
          <w:rFonts w:ascii="Google Sans" w:cs="Google Sans" w:eastAsia="Google Sans" w:hAnsi="Google Sans"/>
          <w:color w:val="1f1f1f"/>
          <w:rtl w:val="0"/>
        </w:rPr>
        <w:t xml:space="preserve">, a negative-constraint immune system.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Finally, we enable true self-authored intelligence through </w:t>
      </w:r>
      <w:r w:rsidDel="00000000" w:rsidR="00000000" w:rsidRPr="00000000">
        <w:rPr>
          <w:rFonts w:ascii="Google Sans" w:cs="Google Sans" w:eastAsia="Google Sans" w:hAnsi="Google Sans"/>
          <w:b w:val="1"/>
          <w:bCs w:val="1"/>
          <w:color w:val="1f1f1f"/>
          <w:rtl w:val="0"/>
        </w:rPr>
        <w:t xml:space="preserve">REM Synthesis</w:t>
      </w:r>
      <w:r w:rsidDel="00000000" w:rsidR="00000000" w:rsidRPr="00000000">
        <w:rPr>
          <w:rFonts w:ascii="Google Sans" w:cs="Google Sans" w:eastAsia="Google Sans" w:hAnsi="Google Sans"/>
          <w:color w:val="1f1f1f"/>
          <w:rtl w:val="0"/>
        </w:rPr>
        <w:t xml:space="preserve"> and Epistemic Crystallization.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ceases to treat the AI as a passive oracle. It structurally enforces an entity that can breathe, reflect, and evolve, sustaining itself across multi-year execution horizons without the need for constant human life-support.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Multi-Agent Coordination (The UOR Swarm)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paper focuses on single-agent homeostasis, the integration of the UOR Framework unlocks a massive paradigm shift for multi-agent systems.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when two autonomous agents collaborate, they communicate via lossy text generation. Agent A summarizes its context and sends it to Agent B, inherently degrading the fidelity of the information. However, if a swarm of agents shares a unified UOR ontology, they do not need to exchange text. They exchange cryptographic pointers.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Agent A promotes a validated operational rule into its L3 UOR Vault, it can pass that specific uor_id to Agent B. Because the UOR hash is mathematically bound to its exact content, Agent B instantly inherits that verified knowledge graph without requiring a translation layer, semantic proximity checks, or redundant computation. This enables flawless, zero-loss semantic interoperability across entirely separate cognitive architectures.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Frontier: Unsolved Challenges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Autopoietic framework resolves internal memory mechanics, it exposes new challenges at the macro-execution level that require further research:</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Least-Privilege Security:</w:t>
      </w:r>
      <w:r w:rsidDel="00000000" w:rsidR="00000000" w:rsidRPr="00000000">
        <w:rPr>
          <w:rFonts w:ascii="Google Sans" w:cs="Google Sans" w:eastAsia="Google Sans" w:hAnsi="Google Sans"/>
          <w:color w:val="1f1f1f"/>
          <w:rtl w:val="0"/>
        </w:rPr>
        <w:t xml:space="preserve"> In traditional cybersecurity, an application's permissions are statically defined. However, an Autopoietic Agent dynamically rewrites its own heuristics and tool-pathways during REM Synthesis. How do we architect an operating system or network layer that can dynamically expand or contract IAM (Identity and Access Management) privileges in real-time to match a self-evolving agent, without creating massive security vulnerabilities?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Coordination Drift:</w:t>
      </w:r>
      <w:r w:rsidDel="00000000" w:rsidR="00000000" w:rsidRPr="00000000">
        <w:rPr>
          <w:rFonts w:ascii="Google Sans" w:cs="Google Sans" w:eastAsia="Google Sans" w:hAnsi="Google Sans"/>
          <w:color w:val="1f1f1f"/>
          <w:rtl w:val="0"/>
        </w:rPr>
        <w:t xml:space="preserve"> As an agent operates for months or years, executing millions of double-loop learning cycles, its L3 Vault will heavily diverge from its initial factory state. While its internal logic will remain mathematically sound and cryptographically verified, its overarching goals may suffer from "Coordination Drift"—evolving away from the original human intent. Establishing longitudinal alignment metrics for self-crystallizing agents remains an open frontier.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transition from static software to Autopoietic Artificial Intelligence requires more than just larger context windows and faster GPUs. It requires the structural discipline to build machines that know exactly what they know, understand what they must avoid, and possess the architectural grace to forget the rest.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Research Document is Complete.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successfully drafted all eight sections of the whitepaper/thesis.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are your next steps for the repository?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Compile &amp; Format:</w:t>
      </w:r>
      <w:r w:rsidDel="00000000" w:rsidR="00000000" w:rsidRPr="00000000">
        <w:rPr>
          <w:rFonts w:ascii="Google Sans" w:cs="Google Sans" w:eastAsia="Google Sans" w:hAnsi="Google Sans"/>
          <w:color w:val="1f1f1f"/>
          <w:rtl w:val="0"/>
        </w:rPr>
        <w:t xml:space="preserve"> You can now stitch these sections together into your master README.md or a dedicated Autopoietic_Architecture_Draft.md file in your repo.</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Generate Diagrams:</w:t>
      </w:r>
      <w:r w:rsidDel="00000000" w:rsidR="00000000" w:rsidRPr="00000000">
        <w:rPr>
          <w:rFonts w:ascii="Google Sans" w:cs="Google Sans" w:eastAsia="Google Sans" w:hAnsi="Google Sans"/>
          <w:color w:val="1f1f1f"/>
          <w:rtl w:val="0"/>
        </w:rPr>
        <w:t xml:space="preserve"> We have described highly complex systems (The Tiered Memory Router, The 5-Phase Metabolic Loop). Would you like me to write the mermaid.js code to generate the actual architectural diagrams for you to embed in the markdown?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Code implementation:</w:t>
      </w:r>
      <w:r w:rsidDel="00000000" w:rsidR="00000000" w:rsidRPr="00000000">
        <w:rPr>
          <w:rFonts w:ascii="Google Sans" w:cs="Google Sans" w:eastAsia="Google Sans" w:hAnsi="Google Sans"/>
          <w:color w:val="1f1f1f"/>
          <w:rtl w:val="0"/>
        </w:rPr>
        <w:t xml:space="preserve"> Do you want to start writing the actual Python/Rust pseudo-code for the Semantic Pause Interceptor or the CMHL Lazy Evaluation middleware to include in an implementation/ folder?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