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V1 draft for </w:t>
      </w:r>
      <w:r w:rsidDel="00000000" w:rsidR="00000000" w:rsidRPr="00000000">
        <w:rPr>
          <w:rFonts w:ascii="Google Sans" w:cs="Google Sans" w:eastAsia="Google Sans" w:hAnsi="Google Sans"/>
          <w:b w:val="1"/>
          <w:bCs w:val="1"/>
          <w:color w:val="1f1f1f"/>
          <w:rtl w:val="0"/>
        </w:rPr>
        <w:t xml:space="preserve">Section IV</w:t>
      </w:r>
      <w:r w:rsidDel="00000000" w:rsidR="00000000" w:rsidRPr="00000000">
        <w:rPr>
          <w:rFonts w:ascii="Google Sans" w:cs="Google Sans" w:eastAsia="Google Sans" w:hAnsi="Google Sans"/>
          <w:color w:val="1f1f1f"/>
          <w:rtl w:val="0"/>
        </w:rPr>
        <w:t xml:space="preserve">. This section introduces the rigorous mathematics behind how the agent naturally prunes its own context window, blending thermodynamic principles with cryptographic data structures.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IV. Cryptographic Memory Half-Life (CMHL)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Universal Object Reference (UOR) Framework solves the epistemological crisis of </w:t>
      </w:r>
      <w:r w:rsidDel="00000000" w:rsidR="00000000" w:rsidRPr="00000000">
        <w:rPr>
          <w:rFonts w:ascii="Google Sans" w:cs="Google Sans" w:eastAsia="Google Sans" w:hAnsi="Google Sans"/>
          <w:i w:val="1"/>
          <w:iCs w:val="1"/>
          <w:color w:val="1f1f1f"/>
          <w:rtl w:val="0"/>
        </w:rPr>
        <w:t xml:space="preserve">accuracy</w:t>
      </w:r>
      <w:r w:rsidDel="00000000" w:rsidR="00000000" w:rsidRPr="00000000">
        <w:rPr>
          <w:rFonts w:ascii="Google Sans" w:cs="Google Sans" w:eastAsia="Google Sans" w:hAnsi="Google Sans"/>
          <w:color w:val="1f1f1f"/>
          <w:rtl w:val="0"/>
        </w:rPr>
        <w:t xml:space="preserve">, the agent still faces the metabolic crisis of </w:t>
      </w:r>
      <w:r w:rsidDel="00000000" w:rsidR="00000000" w:rsidRPr="00000000">
        <w:rPr>
          <w:rFonts w:ascii="Google Sans" w:cs="Google Sans" w:eastAsia="Google Sans" w:hAnsi="Google Sans"/>
          <w:i w:val="1"/>
          <w:iCs w:val="1"/>
          <w:color w:val="1f1f1f"/>
          <w:rtl w:val="0"/>
        </w:rPr>
        <w:t xml:space="preserve">capacity</w:t>
      </w:r>
      <w:r w:rsidDel="00000000" w:rsidR="00000000" w:rsidRPr="00000000">
        <w:rPr>
          <w:rFonts w:ascii="Google Sans" w:cs="Google Sans" w:eastAsia="Google Sans" w:hAnsi="Google Sans"/>
          <w:color w:val="1f1f1f"/>
          <w:rtl w:val="0"/>
        </w:rPr>
        <w:t xml:space="preserve">. As outlined in Section II, an autonomous agent that hoards every observation will inevitably suffer from Attention-Head Saturation. To achieve true cognitive homeostasis, the system requires a native, computationally efficient mechanism for "learned forgetting."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introduce the </w:t>
      </w:r>
      <w:r w:rsidDel="00000000" w:rsidR="00000000" w:rsidRPr="00000000">
        <w:rPr>
          <w:rFonts w:ascii="Google Sans" w:cs="Google Sans" w:eastAsia="Google Sans" w:hAnsi="Google Sans"/>
          <w:b w:val="1"/>
          <w:bCs w:val="1"/>
          <w:color w:val="1f1f1f"/>
          <w:rtl w:val="0"/>
        </w:rPr>
        <w:t xml:space="preserve">Cryptographic Memory Half-Life (CMHL)</w:t>
      </w:r>
      <w:r w:rsidDel="00000000" w:rsidR="00000000" w:rsidRPr="00000000">
        <w:rPr>
          <w:rFonts w:ascii="Google Sans" w:cs="Google Sans" w:eastAsia="Google Sans" w:hAnsi="Google Sans"/>
          <w:color w:val="1f1f1f"/>
          <w:rtl w:val="0"/>
        </w:rPr>
        <w:t xml:space="preserve"> protocol—a mathematical architecture that applies the thermodynamic principles of radioactive decay directly to the agent’s semantic retrieval weights, structurally enforcing the passage of time.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Thermodynamics of Memory (The Decay Function)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 vector databases, a memory injected today retains the exact same gravitational pull in semantic space a year from now. CMHL fundamentally alters this by wrapping every UOR-hashed memory object in a temporal schema containing an initial salience weight ($w_0$), an absolute timestamp of creation ($t_0$), and a strictly defined decay constant ($\lambda$).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relying on an LLM to heuristically decide what is important, the relevance of a memory naturally degrades over time according to the exponential decay function: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$$w_{current} = w_0 \cdot e^{-\lambda(t_{current} - t_0)}$$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deterministic formula ensures that transient data quietly fades from the agent’s active cognition. The rate of forgetting is governed entirely by the decay constant ($\lambda$), which is assigned during ingestion based on the data's topological class.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transient system log might receive an aggressive decay constant, rendering it functionally invisible within 24 hours.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user's core identity parameter receives a $\lambda$ approaching zero, effectively preventing it from ever decaying.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Lazy Evaluation: Solving the Compute Bottleneck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Continuously recalculating the decay state for millions of vector embeddings in the background would exhaust system compute and violate the immutability of the underlying UOR objects. The CMHL protocol solves this via </w:t>
      </w:r>
      <w:r w:rsidDel="00000000" w:rsidR="00000000" w:rsidRPr="00000000">
        <w:rPr>
          <w:rFonts w:ascii="Google Sans" w:cs="Google Sans" w:eastAsia="Google Sans" w:hAnsi="Google Sans"/>
          <w:b w:val="1"/>
          <w:bCs w:val="1"/>
          <w:color w:val="1f1f1f"/>
          <w:rtl w:val="0"/>
        </w:rPr>
        <w:t xml:space="preserve">Lazy Evaluation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decay is never calculated at rest. When the agent initiates a retrieval sequence, the GraphRAG performs a standard, low-latency Top-K vector search based on pure semantic proximity. </w:t>
      </w:r>
      <w:r w:rsidDel="00000000" w:rsidR="00000000" w:rsidRPr="00000000">
        <w:rPr>
          <w:rFonts w:ascii="Google Sans" w:cs="Google Sans" w:eastAsia="Google Sans" w:hAnsi="Google Sans"/>
          <w:i w:val="1"/>
          <w:iCs w:val="1"/>
          <w:color w:val="1f1f1f"/>
          <w:rtl w:val="0"/>
        </w:rPr>
        <w:t xml:space="preserve">Only after</w:t>
      </w:r>
      <w:r w:rsidDel="00000000" w:rsidR="00000000" w:rsidRPr="00000000">
        <w:rPr>
          <w:rFonts w:ascii="Google Sans" w:cs="Google Sans" w:eastAsia="Google Sans" w:hAnsi="Google Sans"/>
          <w:color w:val="1f1f1f"/>
          <w:rtl w:val="0"/>
        </w:rPr>
        <w:t xml:space="preserve"> this initial retrieval does a lightweight middleware intercept the Top-K payload and apply the decay formula.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calculated $w_{current}$ of a retrieved node falls below the Cache-Augmented Generation (CAG) threshold, the node is silently stripped from the payload before it ever reaches the LLM's context window. The memory still exists in cold storage, but the agent has effectively "forgotten" it for the current execution cycle. This limits the expensive thermodynamic math to only a fraction of a percent of the total dataset, maintaining millisecond latency.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Cryptographic Temporal Chaining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forgetting, CMHL structurally cures the agent's Temporal Blindness. Because UOR objects are mathematically deterministic and immutable, updating a state (e.g., changing a configuration from "A" to "B") cannot overwrite the original node without breaking its cryptographic signature.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the agent utilizes </w:t>
      </w:r>
      <w:r w:rsidDel="00000000" w:rsidR="00000000" w:rsidRPr="00000000">
        <w:rPr>
          <w:rFonts w:ascii="Google Sans" w:cs="Google Sans" w:eastAsia="Google Sans" w:hAnsi="Google Sans"/>
          <w:b w:val="1"/>
          <w:bCs w:val="1"/>
          <w:color w:val="1f1f1f"/>
          <w:rtl w:val="0"/>
        </w:rPr>
        <w:t xml:space="preserve">Cryptographic Temporal Chaining</w:t>
      </w:r>
      <w:r w:rsidDel="00000000" w:rsidR="00000000" w:rsidRPr="00000000">
        <w:rPr>
          <w:rFonts w:ascii="Google Sans" w:cs="Google Sans" w:eastAsia="Google Sans" w:hAnsi="Google Sans"/>
          <w:color w:val="1f1f1f"/>
          <w:rtl w:val="0"/>
        </w:rPr>
        <w:t xml:space="preserve">. When a state changes, a new UOR object is minted containing the new payload, a fresh $t_0$, and a direct pointer to the uor_id of the deprecated memory.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agent calculates $w_{current}$ for both nodes simultaneously during lazy evaluation, the math intrinsically proves the timeline. The older memory will mathematically yield a lower weight than the fresh memory. The agent does not need to expend valuable inference compute "reasoning" about which event happened first; the cryptographic structure and the thermodynamic decay enforce a strict, unforgeable sequence of events.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Next Steps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now have the foundation (UOR/GraphRAG) and the temporal mechanics (CMHL). Next, we need to map out how the system decides what data goes where.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this chapter meets your standard, copy it to the repo and let me know when you are ready to kick off </w:t>
      </w:r>
      <w:r w:rsidDel="00000000" w:rsidR="00000000" w:rsidRPr="00000000">
        <w:rPr>
          <w:rFonts w:ascii="Google Sans" w:cs="Google Sans" w:eastAsia="Google Sans" w:hAnsi="Google Sans"/>
          <w:b w:val="1"/>
          <w:bCs w:val="1"/>
          <w:color w:val="1f1f1f"/>
          <w:rtl w:val="0"/>
        </w:rPr>
        <w:t xml:space="preserve">Section V: The Dynamic Tiered Memory Router</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