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the V1 draft for </w:t>
      </w:r>
      <w:r w:rsidDel="00000000" w:rsidR="00000000" w:rsidRPr="00000000">
        <w:rPr>
          <w:rFonts w:ascii="Google Sans" w:cs="Google Sans" w:eastAsia="Google Sans" w:hAnsi="Google Sans"/>
          <w:b w:val="1"/>
          <w:bCs w:val="1"/>
          <w:color w:val="1f1f1f"/>
          <w:rtl w:val="0"/>
        </w:rPr>
        <w:t xml:space="preserve">Section V</w:t>
      </w:r>
      <w:r w:rsidDel="00000000" w:rsidR="00000000" w:rsidRPr="00000000">
        <w:rPr>
          <w:rFonts w:ascii="Google Sans" w:cs="Google Sans" w:eastAsia="Google Sans" w:hAnsi="Google Sans"/>
          <w:color w:val="1f1f1f"/>
          <w:rtl w:val="0"/>
        </w:rPr>
        <w:t xml:space="preserve">. This chapter addresses the architectural reality of compute constraints, explaining how the agent balances the need for absolute cryptographic certainty with the necessity of speed.</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V. The Dynamic Tiered Memory Router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the Universal Object Reference (UOR) framework provides absolute epistemological certainty, while the Cryptographic Memory Half-Life (CMHL) protocol provides a mechanism for metabolic decay. However, a critical architectural friction remains: </w:t>
      </w:r>
      <w:r w:rsidDel="00000000" w:rsidR="00000000" w:rsidRPr="00000000">
        <w:rPr>
          <w:rFonts w:ascii="Google Sans" w:cs="Google Sans" w:eastAsia="Google Sans" w:hAnsi="Google Sans"/>
          <w:b w:val="1"/>
          <w:bCs w:val="1"/>
          <w:color w:val="1f1f1f"/>
          <w:rtl w:val="0"/>
        </w:rPr>
        <w:t xml:space="preserve">computational exhaustion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Strict cryptographic hashing and deterministic object creation are computationally expensive operations. If an autonomous agent attempts to mint a UOR signature for every transient background log, conversational filler, or probabilistic observation, the system will rapidly exhaust its compute budget and collapse under its own structural weight.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maintain cognitive homeostasis, the agent must treat cryptographic certainty not as a blanket requirement, but as an elevated, scarce cognitive resource. We resolve this by implementing a </w:t>
      </w:r>
      <w:r w:rsidDel="00000000" w:rsidR="00000000" w:rsidRPr="00000000">
        <w:rPr>
          <w:rFonts w:ascii="Google Sans" w:cs="Google Sans" w:eastAsia="Google Sans" w:hAnsi="Google Sans"/>
          <w:b w:val="1"/>
          <w:bCs w:val="1"/>
          <w:color w:val="1f1f1f"/>
          <w:rtl w:val="0"/>
        </w:rPr>
        <w:t xml:space="preserve">Dynamic Tiered Memory Router</w:t>
      </w:r>
      <w:r w:rsidDel="00000000" w:rsidR="00000000" w:rsidRPr="00000000">
        <w:rPr>
          <w:rFonts w:ascii="Google Sans" w:cs="Google Sans" w:eastAsia="Google Sans" w:hAnsi="Google Sans"/>
          <w:color w:val="1f1f1f"/>
          <w:rtl w:val="0"/>
        </w:rPr>
        <w:t xml:space="preserve">, a hierarchical storage architecture that algorithmically categorizes and routes incoming data based on its necessary fidelity.</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Tri-Layer Architecture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agent’s memory is divided into three distinct strata, mimicking the biological transition from sensory input to core belief:</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Tier 1 (L1): The Transient Cache (Fast, Fuzzy, Cheap)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L1 serves as the system's peripheral nervous system. It utilizes standard vector embeddings and probabilistic semantic similarity. It is highly volatile, governed by aggressive Time-To-Live (TTL) eviction rather than mathematical decay.</w:t>
      </w:r>
    </w:p>
    <w:p w:rsidR="00000000" w:rsidDel="00000000" w:rsidP="00000000" w:rsidRDefault="00000000" w:rsidRPr="00000000" w14:paraId="00000009">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Use Case:</w:t>
      </w:r>
      <w:r w:rsidDel="00000000" w:rsidR="00000000" w:rsidRPr="00000000">
        <w:rPr>
          <w:rFonts w:ascii="Google Sans" w:cs="Google Sans" w:eastAsia="Google Sans" w:hAnsi="Google Sans"/>
          <w:color w:val="1f1f1f"/>
          <w:rtl w:val="0"/>
        </w:rPr>
        <w:t xml:space="preserve"> Processing conversational small talk, ingesting transient UI states, or scanning a non-critical web article for temporary background context.</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Tier 2 (L2): The Temporal Graph (Relational, Decaying, Moderate Compute)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L2 acts as the agent's hippocampus. It utilizes GraphRAG and is governed strictly by the CMHL protocol. Data here is relational and mapped temporally, allowing the agent to understand cause-and-effect sequences. Memories in L2 are subject to radioactive decay ($e^{-\lambda t}$) unless actively retrieved and "restaked."</w:t>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Use Case:</w:t>
      </w:r>
      <w:r w:rsidDel="00000000" w:rsidR="00000000" w:rsidRPr="00000000">
        <w:rPr>
          <w:rFonts w:ascii="Google Sans" w:cs="Google Sans" w:eastAsia="Google Sans" w:hAnsi="Google Sans"/>
          <w:color w:val="1f1f1f"/>
          <w:rtl w:val="0"/>
        </w:rPr>
        <w:t xml:space="preserve"> Tracking user operational preferences, mapping project folder structures, and maintaining the state of multi-step, ongoing tasks.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Tier 3 (L3): The UOR Vault (Cryptographic, Immutable, Expensive)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L3 is the agent's DNA. It utilizes the full UOR Framework, ensuring absolute mathematical determinism based on $Z/(2^n)Z$ algebraic structures. Data in L3 never decays ($\lambda = 0$) and cannot be altered without minting a completely new, cryptographically chained object.</w:t>
      </w:r>
    </w:p>
    <w:p w:rsidR="00000000" w:rsidDel="00000000" w:rsidP="00000000" w:rsidRDefault="00000000" w:rsidRPr="00000000" w14:paraId="0000000D">
      <w:pPr>
        <w:numPr>
          <w:ilvl w:val="1"/>
          <w:numId w:val="4"/>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w:cs="Google Sans" w:eastAsia="Google Sans" w:hAnsi="Google Sans"/>
          <w:i w:val="1"/>
          <w:iCs w:val="1"/>
          <w:color w:val="1f1f1f"/>
          <w:rtl w:val="0"/>
        </w:rPr>
        <w:t xml:space="preserve">Use Case:</w:t>
      </w:r>
      <w:r w:rsidDel="00000000" w:rsidR="00000000" w:rsidRPr="00000000">
        <w:rPr>
          <w:rFonts w:ascii="Google Sans" w:cs="Google Sans" w:eastAsia="Google Sans" w:hAnsi="Google Sans"/>
          <w:color w:val="1f1f1f"/>
          <w:rtl w:val="0"/>
        </w:rPr>
        <w:t xml:space="preserve"> The agent’s core operational constitution ("Soul File"), cryptographic API keys, rigid governance rules, and explicitly verified human-in-the-loop directives.</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Memory Tier Score (MTS) Algorithm</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is not manually assigned to these tiers. Instead, the architecture utilizes an algorithmic router at the ingestion gateway. When the agent receives a new payload, a deterministic routing function calculates a </w:t>
      </w:r>
      <w:r w:rsidDel="00000000" w:rsidR="00000000" w:rsidRPr="00000000">
        <w:rPr>
          <w:rFonts w:ascii="Google Sans" w:cs="Google Sans" w:eastAsia="Google Sans" w:hAnsi="Google Sans"/>
          <w:b w:val="1"/>
          <w:bCs w:val="1"/>
          <w:color w:val="1f1f1f"/>
          <w:rtl w:val="0"/>
        </w:rPr>
        <w:t xml:space="preserve">Memory Tier Score (MTS)</w:t>
      </w:r>
      <w:r w:rsidDel="00000000" w:rsidR="00000000" w:rsidRPr="00000000">
        <w:rPr>
          <w:rFonts w:ascii="Google Sans" w:cs="Google Sans" w:eastAsia="Google Sans" w:hAnsi="Google Sans"/>
          <w:color w:val="1f1f1f"/>
          <w:rtl w:val="0"/>
        </w:rPr>
        <w:t xml:space="preserve"> to dictate its storage destination.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MTS is derived by evaluating the payload against a weighted matrix of operational requirements: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$$MTS = (S \cdot W_s) + (A \cdot W_a) + (P \cdot W_p) - (C \cdot W_c)$$</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w:t>
      </w:r>
    </w:p>
    <w:p w:rsidR="00000000" w:rsidDel="00000000" w:rsidP="00000000" w:rsidRDefault="00000000" w:rsidRPr="00000000" w14:paraId="00000014">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 (Sensitivity):</w:t>
      </w:r>
      <w:r w:rsidDel="00000000" w:rsidR="00000000" w:rsidRPr="00000000">
        <w:rPr>
          <w:rFonts w:ascii="Google Sans" w:cs="Google Sans" w:eastAsia="Google Sans" w:hAnsi="Google Sans"/>
          <w:color w:val="1f1f1f"/>
          <w:rtl w:val="0"/>
        </w:rPr>
        <w:t xml:space="preserve"> The security or privacy risk of the data.</w:t>
      </w:r>
    </w:p>
    <w:p w:rsidR="00000000" w:rsidDel="00000000" w:rsidP="00000000" w:rsidRDefault="00000000" w:rsidRPr="00000000" w14:paraId="0000001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(Accuracy Requirement):</w:t>
      </w:r>
      <w:r w:rsidDel="00000000" w:rsidR="00000000" w:rsidRPr="00000000">
        <w:rPr>
          <w:rFonts w:ascii="Google Sans" w:cs="Google Sans" w:eastAsia="Google Sans" w:hAnsi="Google Sans"/>
          <w:color w:val="1f1f1f"/>
          <w:rtl w:val="0"/>
        </w:rPr>
        <w:t xml:space="preserve"> The system's tolerance for hallucination regarding this specific data.</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 (Privilege Level):</w:t>
      </w:r>
      <w:r w:rsidDel="00000000" w:rsidR="00000000" w:rsidRPr="00000000">
        <w:rPr>
          <w:rFonts w:ascii="Google Sans" w:cs="Google Sans" w:eastAsia="Google Sans" w:hAnsi="Google Sans"/>
          <w:color w:val="1f1f1f"/>
          <w:rtl w:val="0"/>
        </w:rPr>
        <w:t xml:space="preserve"> The required agent clearance to access or modify the payload.</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 (Compute Constraint):</w:t>
      </w:r>
      <w:r w:rsidDel="00000000" w:rsidR="00000000" w:rsidRPr="00000000">
        <w:rPr>
          <w:rFonts w:ascii="Google Sans" w:cs="Google Sans" w:eastAsia="Google Sans" w:hAnsi="Google Sans"/>
          <w:color w:val="1f1f1f"/>
          <w:rtl w:val="0"/>
        </w:rPr>
        <w:t xml:space="preserve"> The current latency budget of the active execution loop.</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calculated MTS exceeds a high threshold (e.g., &gt; 0.8), the payload is routed to the L3 UOR Vault. If it falls into a median range, it populates the L2 Temporal Graph. Low-scoring payloads are relegated to the L1 Transient Cache.</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Compute vs. Certainty Optimization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tiered routing mechanism is the key to sustainable autonomy. By dynamically adjusting the weights ($W$) within the MTS algorithm, system administrators can deterministically tune the agent's cognition to match the deployment environment.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medical diagnostic agent operating under strict regulatory compliance can be tuned to push a majority of its context into L3, prioritizing absolute certainty over speed. Conversely, a creative coding assistant can be tuned to rely heavily on the L1 and L2 tiers, maximizing speed and relational ideation while conserving compute. The Dynamic Tiered Memory Router guarantees that the agent only pays the "tax" of mathematical certainty when the environment strictly demands it.</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Next Steps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are now entering the most advanced part of the architecture: how the agent protects itself from its own failures.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this section looks good, go ahead and update the repo. When you are ready, say the word and we will draft </w:t>
      </w:r>
      <w:r w:rsidDel="00000000" w:rsidR="00000000" w:rsidRPr="00000000">
        <w:rPr>
          <w:rFonts w:ascii="Google Sans" w:cs="Google Sans" w:eastAsia="Google Sans" w:hAnsi="Google Sans"/>
          <w:b w:val="1"/>
          <w:bCs w:val="1"/>
          <w:color w:val="1f1f1f"/>
          <w:rtl w:val="0"/>
        </w:rPr>
        <w:t xml:space="preserve">Section VI: The Immune System: The Shadow Genome</w:t>
      </w:r>
      <w:r w:rsidDel="00000000" w:rsidR="00000000" w:rsidRPr="00000000">
        <w:rPr>
          <w:rFonts w:ascii="Google Sans" w:cs="Google Sans" w:eastAsia="Google Sans" w:hAnsi="Google Sans"/>
          <w:color w:val="1f1f1f"/>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