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Hearth: Aruunite Demographic &amp; Ecological Mortality Working Model</w:t>
      </w:r>
    </w:p>
    <w:p>
      <w:pPr>
        <w:jc w:val="center"/>
      </w:pPr>
      <w:r>
        <w:rPr>
          <w:b/>
          <w:sz w:val="24"/>
        </w:rPr>
        <w:t>WORKING MODEL — NOT CANON</w:t>
      </w:r>
    </w:p>
    <w:p>
      <w:r>
        <w:t>Purpose: preserve the demographic, ecological, reproductive, and mortality modeling developed during the Hearth worldbuilding session. These values are provisional simulation outputs and working assumptions. They are not established canon until the remaining validation and modeling are complete.</w:t>
      </w:r>
    </w:p>
    <w:p>
      <w:pPr>
        <w:pStyle w:val="Heading1"/>
      </w:pPr>
      <w:r>
        <w:t>1. Modeling Philosophy</w:t>
      </w:r>
    </w:p>
    <w:p>
      <w:pPr>
        <w:pStyle w:val="ListBullet"/>
      </w:pPr>
      <w:r>
        <w:t>Aruunite biology should be modeled from the established species baseline, Hearth's environment, gravity, ecology, and evolutionary pressures—not from fictional parameters assigned to other creatures.</w:t>
      </w:r>
    </w:p>
    <w:p>
      <w:pPr>
        <w:pStyle w:val="ListBullet"/>
      </w:pPr>
      <w:r>
        <w:t>The creature library is a representative ecological sample, not a complete catalog of Hearth biodiversity. Unnamed/background fauna fill the broader food web.</w:t>
      </w:r>
    </w:p>
    <w:p>
      <w:pPr>
        <w:pStyle w:val="ListBullet"/>
      </w:pPr>
      <w:r>
        <w:t>Humans are social predators whose primary survival advantage is cooperation, planning, knowledge, tools, and group coordination rather than individual physical superiority.</w:t>
      </w:r>
    </w:p>
    <w:p>
      <w:pPr>
        <w:pStyle w:val="ListBullet"/>
      </w:pPr>
      <w:r>
        <w:t>Hearth should remain dangerous without becoming a world in which humans are constantly killed by megafauna.</w:t>
      </w:r>
    </w:p>
    <w:p>
      <w:pPr>
        <w:pStyle w:val="ListBullet"/>
      </w:pPr>
      <w:r>
        <w:t>Disease is included as an ecological counterpressure, but the Aruunite pathogen environment is intentionally less catastrophic than Earth's historical human disease burden until a dedicated pathogen library is created.</w:t>
      </w:r>
    </w:p>
    <w:p>
      <w:pPr>
        <w:pStyle w:val="ListBullet"/>
      </w:pPr>
      <w:r>
        <w:t>Environmental hazards should be biome-specific and culturally mitigated.</w:t>
      </w:r>
    </w:p>
    <w:p>
      <w:pPr>
        <w:pStyle w:val="Heading1"/>
      </w:pPr>
      <w:r>
        <w:t>2. Working Population &amp; Community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Working Population</w:t>
            </w:r>
          </w:p>
        </w:tc>
        <w:tc>
          <w:tcPr>
            <w:tcW w:type="dxa" w:w="2160"/>
          </w:tcPr>
          <w:p>
            <w:r>
              <w:t>Typical Community</w:t>
            </w:r>
          </w:p>
        </w:tc>
        <w:tc>
          <w:tcPr>
            <w:tcW w:type="dxa" w:w="2160"/>
          </w:tcPr>
          <w:p>
            <w:r>
              <w:t>Typical Neighbor Spacing</w:t>
            </w:r>
          </w:p>
        </w:tc>
      </w:tr>
      <w:tr>
        <w:tc>
          <w:tcPr>
            <w:tcW w:type="dxa" w:w="2160"/>
          </w:tcPr>
          <w:p>
            <w:r>
              <w:t>Plains</w:t>
            </w:r>
          </w:p>
        </w:tc>
        <w:tc>
          <w:tcPr>
            <w:tcW w:type="dxa" w:w="2160"/>
          </w:tcPr>
          <w:p>
            <w:r>
              <w:t>~650,000</w:t>
            </w:r>
          </w:p>
        </w:tc>
        <w:tc>
          <w:tcPr>
            <w:tcW w:type="dxa" w:w="2160"/>
          </w:tcPr>
          <w:p>
            <w:r>
              <w:t>~150–200; center ~175</w:t>
            </w:r>
          </w:p>
        </w:tc>
        <w:tc>
          <w:tcPr>
            <w:tcW w:type="dxa" w:w="2160"/>
          </w:tcPr>
          <w:p>
            <w:r>
              <w:t>~13–20 km</w:t>
            </w:r>
          </w:p>
        </w:tc>
      </w:tr>
      <w:tr>
        <w:tc>
          <w:tcPr>
            <w:tcW w:type="dxa" w:w="2160"/>
          </w:tcPr>
          <w:p>
            <w:r>
              <w:t>River</w:t>
            </w:r>
          </w:p>
        </w:tc>
        <w:tc>
          <w:tcPr>
            <w:tcW w:type="dxa" w:w="2160"/>
          </w:tcPr>
          <w:p>
            <w:r>
              <w:t>~500,000</w:t>
            </w:r>
          </w:p>
        </w:tc>
        <w:tc>
          <w:tcPr>
            <w:tcW w:type="dxa" w:w="2160"/>
          </w:tcPr>
          <w:p>
            <w:r>
              <w:t>~120–160; center ~150</w:t>
            </w:r>
          </w:p>
        </w:tc>
        <w:tc>
          <w:tcPr>
            <w:tcW w:type="dxa" w:w="2160"/>
          </w:tcPr>
          <w:p>
            <w:r>
              <w:t>~10–15 km</w:t>
            </w:r>
          </w:p>
        </w:tc>
      </w:tr>
      <w:tr>
        <w:tc>
          <w:tcPr>
            <w:tcW w:type="dxa" w:w="2160"/>
          </w:tcPr>
          <w:p>
            <w:r>
              <w:t>Wetlands</w:t>
            </w:r>
          </w:p>
        </w:tc>
        <w:tc>
          <w:tcPr>
            <w:tcW w:type="dxa" w:w="2160"/>
          </w:tcPr>
          <w:p>
            <w:r>
              <w:t>~290,000</w:t>
            </w:r>
          </w:p>
        </w:tc>
        <w:tc>
          <w:tcPr>
            <w:tcW w:type="dxa" w:w="2160"/>
          </w:tcPr>
          <w:p>
            <w:r>
              <w:t>~100–120; center ~120</w:t>
            </w:r>
          </w:p>
        </w:tc>
        <w:tc>
          <w:tcPr>
            <w:tcW w:type="dxa" w:w="2160"/>
          </w:tcPr>
          <w:p>
            <w:r>
              <w:t>~11–13 km</w:t>
            </w:r>
          </w:p>
        </w:tc>
      </w:tr>
      <w:tr>
        <w:tc>
          <w:tcPr>
            <w:tcW w:type="dxa" w:w="2160"/>
          </w:tcPr>
          <w:p>
            <w:r>
              <w:t>Coast</w:t>
            </w:r>
          </w:p>
        </w:tc>
        <w:tc>
          <w:tcPr>
            <w:tcW w:type="dxa" w:w="2160"/>
          </w:tcPr>
          <w:p>
            <w:r>
              <w:t>~290,000</w:t>
            </w:r>
          </w:p>
        </w:tc>
        <w:tc>
          <w:tcPr>
            <w:tcW w:type="dxa" w:w="2160"/>
          </w:tcPr>
          <w:p>
            <w:r>
              <w:t>~150–200; center ~175</w:t>
            </w:r>
          </w:p>
        </w:tc>
        <w:tc>
          <w:tcPr>
            <w:tcW w:type="dxa" w:w="2160"/>
          </w:tcPr>
          <w:p>
            <w:r>
              <w:t>~10–15 km</w:t>
            </w:r>
          </w:p>
        </w:tc>
      </w:tr>
      <w:tr>
        <w:tc>
          <w:tcPr>
            <w:tcW w:type="dxa" w:w="2160"/>
          </w:tcPr>
          <w:p>
            <w:r>
              <w:t>Mountains</w:t>
            </w:r>
          </w:p>
        </w:tc>
        <w:tc>
          <w:tcPr>
            <w:tcW w:type="dxa" w:w="2160"/>
          </w:tcPr>
          <w:p>
            <w:r>
              <w:t>~95,000</w:t>
            </w:r>
          </w:p>
        </w:tc>
        <w:tc>
          <w:tcPr>
            <w:tcW w:type="dxa" w:w="2160"/>
          </w:tcPr>
          <w:p>
            <w:r>
              <w:t>~50–70; center ~60</w:t>
            </w:r>
          </w:p>
        </w:tc>
        <w:tc>
          <w:tcPr>
            <w:tcW w:type="dxa" w:w="2160"/>
          </w:tcPr>
          <w:p>
            <w:r>
              <w:t>~20 km or more by travel</w:t>
            </w:r>
          </w:p>
        </w:tc>
      </w:tr>
      <w:tr>
        <w:tc>
          <w:tcPr>
            <w:tcW w:type="dxa" w:w="2160"/>
          </w:tcPr>
          <w:p>
            <w:r>
              <w:t>Desert</w:t>
            </w:r>
          </w:p>
        </w:tc>
        <w:tc>
          <w:tcPr>
            <w:tcW w:type="dxa" w:w="2160"/>
          </w:tcPr>
          <w:p>
            <w:r>
              <w:t>~85,000</w:t>
            </w:r>
          </w:p>
        </w:tc>
        <w:tc>
          <w:tcPr>
            <w:tcW w:type="dxa" w:w="2160"/>
          </w:tcPr>
          <w:p>
            <w:r>
              <w:t>~50–120; center ~80</w:t>
            </w:r>
          </w:p>
        </w:tc>
        <w:tc>
          <w:tcPr>
            <w:tcW w:type="dxa" w:w="2160"/>
          </w:tcPr>
          <w:p>
            <w:r>
              <w:t>~35–40 km</w:t>
            </w:r>
          </w:p>
        </w:tc>
      </w:tr>
    </w:tbl>
    <w:p>
      <w:r>
        <w:t>Working total Hearth population: approximately 1.7–2.2 million, with ~1.9 million used as a current center estimate. These are model outputs, not canon.</w:t>
      </w:r>
    </w:p>
    <w:p>
      <w:pPr>
        <w:pStyle w:val="Heading1"/>
      </w:pPr>
      <w:r>
        <w:t>3. Working Aruunite Life-History Model</w:t>
      </w:r>
    </w:p>
    <w:p>
      <w:pPr>
        <w:pStyle w:val="ListBullet"/>
      </w:pPr>
      <w:r>
        <w:t>Gestation: ~10 months; plausible working range ~9–11 months.</w:t>
      </w:r>
    </w:p>
    <w:p>
      <w:pPr>
        <w:pStyle w:val="ListBullet"/>
      </w:pPr>
      <w:r>
        <w:t>Newborns are more robust and developmentally capable than human newborns, but remain highly dependent on adults.</w:t>
      </w:r>
    </w:p>
    <w:p>
      <w:pPr>
        <w:pStyle w:val="ListBullet"/>
      </w:pPr>
      <w:r>
        <w:t>Reliable walking: roughly 12–15 months.</w:t>
      </w:r>
    </w:p>
    <w:p>
      <w:pPr>
        <w:pStyle w:val="ListBullet"/>
      </w:pPr>
      <w:r>
        <w:t>Useful simple tasks: roughly 3–5 years.</w:t>
      </w:r>
    </w:p>
    <w:p>
      <w:pPr>
        <w:pStyle w:val="ListBullet"/>
      </w:pPr>
      <w:r>
        <w:t>Meaningful work contribution: roughly 6–8 years.</w:t>
      </w:r>
    </w:p>
    <w:p>
      <w:pPr>
        <w:pStyle w:val="ListBullet"/>
      </w:pPr>
      <w:r>
        <w:t>Independent survival skills: roughly 10–13 years.</w:t>
      </w:r>
    </w:p>
    <w:p>
      <w:pPr>
        <w:pStyle w:val="ListBullet"/>
      </w:pPr>
      <w:r>
        <w:t>Full physical adulthood: roughly 17–20 years.</w:t>
      </w:r>
    </w:p>
    <w:p>
      <w:pPr>
        <w:pStyle w:val="ListBullet"/>
      </w:pPr>
      <w:r>
        <w:t>First reproduction: roughly 17–19 years.</w:t>
      </w:r>
    </w:p>
    <w:p>
      <w:pPr>
        <w:pStyle w:val="ListBullet"/>
      </w:pPr>
      <w:r>
        <w:t>Typical birth interval: ~2–2.5 years.</w:t>
      </w:r>
    </w:p>
    <w:p>
      <w:pPr>
        <w:pStyle w:val="ListBullet"/>
      </w:pPr>
      <w:r>
        <w:t>Singleton births are assumed overwhelmingly normal.</w:t>
      </w:r>
    </w:p>
    <w:p>
      <w:pPr>
        <w:pStyle w:val="ListBullet"/>
      </w:pPr>
      <w:r>
        <w:t>Six to eight successful pregnancies are biologically plausible across a reproductive lifetime; typical surviving-child count is provisionally lower, around 4–6.</w:t>
      </w:r>
    </w:p>
    <w:p>
      <w:pPr>
        <w:pStyle w:val="ListBullet"/>
      </w:pPr>
      <w:r>
        <w:t>Infant and early-childhood mortality is elevated; survival improves substantially after early childhood.</w:t>
      </w:r>
    </w:p>
    <w:p>
      <w:pPr>
        <w:pStyle w:val="ListBullet"/>
      </w:pPr>
      <w:r>
        <w:t>Adults who survive childhood commonly reach their 60s and 70s; 80+ is possible, while extreme longevity is uncommon.</w:t>
      </w:r>
    </w:p>
    <w:p>
      <w:pPr>
        <w:pStyle w:val="Heading1"/>
      </w:pPr>
      <w:r>
        <w:t>4. Population Stability — First Pass</w:t>
      </w:r>
    </w:p>
    <w:p>
      <w:pPr>
        <w:pStyle w:val="ListBullet"/>
      </w:pPr>
      <w:r>
        <w:t>The initial baseline demographic calculation suggested that a 150-person community would require only ~3 births/year under biological mortality alone.</w:t>
      </w:r>
    </w:p>
    <w:p>
      <w:pPr>
        <w:pStyle w:val="ListBullet"/>
      </w:pPr>
      <w:r>
        <w:t>That result was rejected as incomplete once Hearth's environmental mortality was incorporated.</w:t>
      </w:r>
    </w:p>
    <w:p>
      <w:pPr>
        <w:pStyle w:val="ListBullet"/>
      </w:pPr>
      <w:r>
        <w:t>The correct model must replace births-minus-deaths arithmetic with an age-structured population pipeline: birth → childhood survival → adolescence → working adulthood → elderhood → death.</w:t>
      </w:r>
    </w:p>
    <w:p>
      <w:pPr>
        <w:pStyle w:val="ListBullet"/>
      </w:pPr>
      <w:r>
        <w:t>A community must replace not only biological deaths but also environmental deaths and the future labor capacity lost when adults die.</w:t>
      </w:r>
    </w:p>
    <w:p>
      <w:pPr>
        <w:pStyle w:val="Heading1"/>
      </w:pPr>
      <w:r>
        <w:t>5. Ecological Mortality Model</w:t>
      </w:r>
    </w:p>
    <w:p>
      <w:pPr>
        <w:pStyle w:val="ListBullet"/>
      </w:pPr>
      <w:r>
        <w:t>Mortality is modeled as baseline biological mortality + disease/infection + environmental mortality − cultural/technological mitigation.</w:t>
      </w:r>
    </w:p>
    <w:p>
      <w:pPr>
        <w:pStyle w:val="ListBullet"/>
      </w:pPr>
      <w:r>
        <w:t>Environmental mortality includes predators, megafauna, hunting accidents, falls, drowning, exposure, floods, dehydration, starvation/resource failures, and other biome-specific hazards.</w:t>
      </w:r>
    </w:p>
    <w:p>
      <w:pPr>
        <w:pStyle w:val="ListBullet"/>
      </w:pPr>
      <w:r>
        <w:t>Large herbivore encounters should produce more injuries and lost labor than outright deaths.</w:t>
      </w:r>
    </w:p>
    <w:p>
      <w:pPr>
        <w:pStyle w:val="ListBullet"/>
      </w:pPr>
      <w:r>
        <w:t>Apex predators are generally avoided rather than routinely hunted; actual attacks should be uncommon.</w:t>
      </w:r>
    </w:p>
    <w:p>
      <w:pPr>
        <w:pStyle w:val="ListBullet"/>
      </w:pPr>
      <w:r>
        <w:t>Large-animal hunting is a calculated communal risk. A representative serious hunt may involve ~20 people, with a working assumption around 18 returning and perhaps ~11 immediately fit for work the next day. This is a risk-model example, not a fixed outcome.</w:t>
      </w:r>
    </w:p>
    <w:p>
      <w:pPr>
        <w:pStyle w:val="ListBullet"/>
      </w:pPr>
      <w:r>
        <w:t>Neighboring communities can combine hunters for unusually valuable or dangerous hunts and then share the resulting food.</w:t>
      </w:r>
    </w:p>
    <w:p>
      <w:pPr>
        <w:pStyle w:val="ListBullet"/>
      </w:pPr>
      <w:r>
        <w:t>The cost of a hunt must be evaluated against its food return, injury burden, labor loss, and probability of predator encounters.</w:t>
      </w:r>
    </w:p>
    <w:p>
      <w:pPr>
        <w:pStyle w:val="Heading1"/>
      </w:pPr>
      <w:r>
        <w:t>6. Plains Working Model</w:t>
      </w:r>
    </w:p>
    <w:p>
      <w:pPr>
        <w:pStyle w:val="ListBullet"/>
      </w:pPr>
      <w:r>
        <w:t>Large herbivores are an important supplement, not the sole food source.</w:t>
      </w:r>
    </w:p>
    <w:p>
      <w:pPr>
        <w:pStyle w:val="ListBullet"/>
      </w:pPr>
      <w:r>
        <w:t>The representative creature library anchors ecological guilds; additional unnamed animals supply the rest of the ecosystem.</w:t>
      </w:r>
    </w:p>
    <w:p>
      <w:pPr>
        <w:pStyle w:val="ListBullet"/>
      </w:pPr>
      <w:r>
        <w:t>Current working estimate: ~8–14 major large-herbivore kills per ~175-person community per year.</w:t>
      </w:r>
    </w:p>
    <w:p>
      <w:pPr>
        <w:pStyle w:val="ListBullet"/>
      </w:pPr>
      <w:r>
        <w:t>Current working estimate: ~4–7 genuinely dangerous coordinated large-hunt operations per year.</w:t>
      </w:r>
    </w:p>
    <w:p>
      <w:pPr>
        <w:pStyle w:val="ListBullet"/>
      </w:pPr>
      <w:r>
        <w:t>Joint hunts between neighboring Plains communities may occur ~1–3 times per year in the working model.</w:t>
      </w:r>
    </w:p>
    <w:p>
      <w:pPr>
        <w:pStyle w:val="ListBullet"/>
      </w:pPr>
      <w:r>
        <w:t>Predator encounters are concentrated around large-herbivore migration/resource corridors.</w:t>
      </w:r>
    </w:p>
    <w:p>
      <w:pPr>
        <w:pStyle w:val="ListBullet"/>
      </w:pPr>
      <w:r>
        <w:t>Longjaw-type apex predators are treated as territorial, solitary ambush predators rather than ubiquitous human hunters.</w:t>
      </w:r>
    </w:p>
    <w:p>
      <w:pPr>
        <w:pStyle w:val="ListBullet"/>
      </w:pPr>
      <w:r>
        <w:t>Most predator encounters should end in avoidance, retreat, or surrendering part of a carcass rather than combat.</w:t>
      </w:r>
    </w:p>
    <w:p>
      <w:pPr>
        <w:pStyle w:val="ListBullet"/>
      </w:pPr>
      <w:r>
        <w:t>Skyrend-type aerial predators primarily increase vigilance and carcass/child protection rather than producing constant human mortality.</w:t>
      </w:r>
    </w:p>
    <w:p>
      <w:pPr>
        <w:pStyle w:val="Heading1"/>
      </w:pPr>
      <w:r>
        <w:t>7. Biome-Specific Survival Logic</w:t>
      </w:r>
    </w:p>
    <w:p>
      <w:pPr>
        <w:pStyle w:val="ListBullet"/>
      </w:pPr>
      <w:r>
        <w:t>Plains: larger communities can organize dangerous hunts; abundant food supports higher population density, while megafauna and predator corridors add risk.</w:t>
      </w:r>
    </w:p>
    <w:p>
      <w:pPr>
        <w:pStyle w:val="ListBullet"/>
      </w:pPr>
      <w:r>
        <w:t>Mountains: smaller communities favor trapping, small/medium game, birds, fish where available, nuts, roots, fungi, and opportunistic large-animal kills. They generally cannot afford the manpower/risk of frequent megafauna hunts.</w:t>
      </w:r>
    </w:p>
    <w:p>
      <w:pPr>
        <w:pStyle w:val="ListBullet"/>
      </w:pPr>
      <w:r>
        <w:t>River: abundant aquatic resources reduce the need for dangerous terrestrial hunting, while drowning, floods, waterborne disease, parasites, and aquatic predators add risk.</w:t>
      </w:r>
    </w:p>
    <w:p>
      <w:pPr>
        <w:pStyle w:val="ListBullet"/>
      </w:pPr>
      <w:r>
        <w:t>Wetlands: high seasonal productivity and communal/separate group structure provide resilience, while waterborne disease, parasites, drowning, predators, and seasonal disasters create volatility.</w:t>
      </w:r>
    </w:p>
    <w:p>
      <w:pPr>
        <w:pStyle w:val="ListBullet"/>
      </w:pPr>
      <w:r>
        <w:t>Coast: communal fishing, marine resources, salt preservation, and shared labor provide strong food security; drowning, storms, boating accidents, marine predators, and infection remain hazards.</w:t>
      </w:r>
    </w:p>
    <w:p>
      <w:pPr>
        <w:pStyle w:val="ListBullet"/>
      </w:pPr>
      <w:r>
        <w:t>Desert: water is the primary constraint. Oasis communities remain small, and Lifekeepers/Water Watchers are critical. Water failure, heat, exposure, travel, and contaminated shared water can produce severe local mortality.</w:t>
      </w:r>
    </w:p>
    <w:p>
      <w:pPr>
        <w:pStyle w:val="Heading1"/>
      </w:pPr>
      <w:r>
        <w:t>8. Working Normal Mortality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Community Size</w:t>
            </w:r>
          </w:p>
        </w:tc>
        <w:tc>
          <w:tcPr>
            <w:tcW w:type="dxa" w:w="2880"/>
          </w:tcPr>
          <w:p>
            <w:r>
              <w:t>Approx. Annual Deaths</w:t>
            </w:r>
          </w:p>
        </w:tc>
      </w:tr>
      <w:tr>
        <w:tc>
          <w:tcPr>
            <w:tcW w:type="dxa" w:w="2880"/>
          </w:tcPr>
          <w:p>
            <w:r>
              <w:t>Plains</w:t>
            </w:r>
          </w:p>
        </w:tc>
        <w:tc>
          <w:tcPr>
            <w:tcW w:type="dxa" w:w="2880"/>
          </w:tcPr>
          <w:p>
            <w:r>
              <w:t>175</w:t>
            </w:r>
          </w:p>
        </w:tc>
        <w:tc>
          <w:tcPr>
            <w:tcW w:type="dxa" w:w="2880"/>
          </w:tcPr>
          <w:p>
            <w:r>
              <w:t>~7.4</w:t>
            </w:r>
          </w:p>
        </w:tc>
      </w:tr>
      <w:tr>
        <w:tc>
          <w:tcPr>
            <w:tcW w:type="dxa" w:w="2880"/>
          </w:tcPr>
          <w:p>
            <w:r>
              <w:t>River</w:t>
            </w:r>
          </w:p>
        </w:tc>
        <w:tc>
          <w:tcPr>
            <w:tcW w:type="dxa" w:w="2880"/>
          </w:tcPr>
          <w:p>
            <w:r>
              <w:t>150</w:t>
            </w:r>
          </w:p>
        </w:tc>
        <w:tc>
          <w:tcPr>
            <w:tcW w:type="dxa" w:w="2880"/>
          </w:tcPr>
          <w:p>
            <w:r>
              <w:t>~6.5</w:t>
            </w:r>
          </w:p>
        </w:tc>
      </w:tr>
      <w:tr>
        <w:tc>
          <w:tcPr>
            <w:tcW w:type="dxa" w:w="2880"/>
          </w:tcPr>
          <w:p>
            <w:r>
              <w:t>Wetlands</w:t>
            </w:r>
          </w:p>
        </w:tc>
        <w:tc>
          <w:tcPr>
            <w:tcW w:type="dxa" w:w="2880"/>
          </w:tcPr>
          <w:p>
            <w:r>
              <w:t>120</w:t>
            </w:r>
          </w:p>
        </w:tc>
        <w:tc>
          <w:tcPr>
            <w:tcW w:type="dxa" w:w="2880"/>
          </w:tcPr>
          <w:p>
            <w:r>
              <w:t>~5.5</w:t>
            </w:r>
          </w:p>
        </w:tc>
      </w:tr>
      <w:tr>
        <w:tc>
          <w:tcPr>
            <w:tcW w:type="dxa" w:w="2880"/>
          </w:tcPr>
          <w:p>
            <w:r>
              <w:t>Coast</w:t>
            </w:r>
          </w:p>
        </w:tc>
        <w:tc>
          <w:tcPr>
            <w:tcW w:type="dxa" w:w="2880"/>
          </w:tcPr>
          <w:p>
            <w:r>
              <w:t>175</w:t>
            </w:r>
          </w:p>
        </w:tc>
        <w:tc>
          <w:tcPr>
            <w:tcW w:type="dxa" w:w="2880"/>
          </w:tcPr>
          <w:p>
            <w:r>
              <w:t>~7.3</w:t>
            </w:r>
          </w:p>
        </w:tc>
      </w:tr>
      <w:tr>
        <w:tc>
          <w:tcPr>
            <w:tcW w:type="dxa" w:w="2880"/>
          </w:tcPr>
          <w:p>
            <w:r>
              <w:t>Mountains</w:t>
            </w:r>
          </w:p>
        </w:tc>
        <w:tc>
          <w:tcPr>
            <w:tcW w:type="dxa" w:w="2880"/>
          </w:tcPr>
          <w:p>
            <w:r>
              <w:t>60</w:t>
            </w:r>
          </w:p>
        </w:tc>
        <w:tc>
          <w:tcPr>
            <w:tcW w:type="dxa" w:w="2880"/>
          </w:tcPr>
          <w:p>
            <w:r>
              <w:t>~2.6</w:t>
            </w:r>
          </w:p>
        </w:tc>
      </w:tr>
      <w:tr>
        <w:tc>
          <w:tcPr>
            <w:tcW w:type="dxa" w:w="2880"/>
          </w:tcPr>
          <w:p>
            <w:r>
              <w:t>Desert</w:t>
            </w:r>
          </w:p>
        </w:tc>
        <w:tc>
          <w:tcPr>
            <w:tcW w:type="dxa" w:w="2880"/>
          </w:tcPr>
          <w:p>
            <w:r>
              <w:t>80</w:t>
            </w:r>
          </w:p>
        </w:tc>
        <w:tc>
          <w:tcPr>
            <w:tcW w:type="dxa" w:w="2880"/>
          </w:tcPr>
          <w:p>
            <w:r>
              <w:t>~3.4</w:t>
            </w:r>
          </w:p>
        </w:tc>
      </w:tr>
    </w:tbl>
    <w:p>
      <w:r>
        <w:t>These mortality values are provisional simulation outputs, not canon.</w:t>
      </w:r>
    </w:p>
    <w:p>
      <w:pPr>
        <w:pStyle w:val="Heading1"/>
      </w:pPr>
      <w:r>
        <w:t>9. Disease Layer</w:t>
      </w:r>
    </w:p>
    <w:p>
      <w:pPr>
        <w:pStyle w:val="ListBullet"/>
      </w:pPr>
      <w:r>
        <w:t>Disease is accounted for as a real mortality component even though the Aruunite pathogen library has not yet been created.</w:t>
      </w:r>
    </w:p>
    <w:p>
      <w:pPr>
        <w:pStyle w:val="ListBullet"/>
      </w:pPr>
      <w:r>
        <w:t>The intended disease ecology is persistent but comparatively restrained: common illnesses, wound infections, gastrointestinal/respiratory disease, parasites, and occasional local outbreaks.</w:t>
      </w:r>
    </w:p>
    <w:p>
      <w:pPr>
        <w:pStyle w:val="ListBullet"/>
      </w:pPr>
      <w:r>
        <w:t>Large sustained epidemics should be uncommon because Aruunite communities are relatively small and dispersed.</w:t>
      </w:r>
    </w:p>
    <w:p>
      <w:pPr>
        <w:pStyle w:val="ListBullet"/>
      </w:pPr>
      <w:r>
        <w:t>River/Wetlands are expected to have greater waterborne/parasite pressure; Desert has lower routine pathogen transmission but higher consequences from contaminated shared water; other biomes have distinct disease profiles.</w:t>
      </w:r>
    </w:p>
    <w:p>
      <w:pPr>
        <w:pStyle w:val="ListBullet"/>
      </w:pPr>
      <w:r>
        <w:t>No final disease-specific mortality rates should be treated as canon until the pathogen library exists.</w:t>
      </w:r>
    </w:p>
    <w:p>
      <w:pPr>
        <w:pStyle w:val="Heading1"/>
      </w:pPr>
      <w:r>
        <w:t>10. Worst-Case Stress 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Community</w:t>
            </w:r>
          </w:p>
        </w:tc>
        <w:tc>
          <w:tcPr>
            <w:tcW w:type="dxa" w:w="2160"/>
          </w:tcPr>
          <w:p>
            <w:r>
              <w:t>Severe-Year Deaths</w:t>
            </w:r>
          </w:p>
        </w:tc>
        <w:tc>
          <w:tcPr>
            <w:tcW w:type="dxa" w:w="2160"/>
          </w:tcPr>
          <w:p>
            <w:r>
              <w:t>Approx. Survivors</w:t>
            </w:r>
          </w:p>
        </w:tc>
      </w:tr>
      <w:tr>
        <w:tc>
          <w:tcPr>
            <w:tcW w:type="dxa" w:w="2160"/>
          </w:tcPr>
          <w:p>
            <w:r>
              <w:t>Plains</w:t>
            </w:r>
          </w:p>
        </w:tc>
        <w:tc>
          <w:tcPr>
            <w:tcW w:type="dxa" w:w="2160"/>
          </w:tcPr>
          <w:p>
            <w:r>
              <w:t>175</w:t>
            </w:r>
          </w:p>
        </w:tc>
        <w:tc>
          <w:tcPr>
            <w:tcW w:type="dxa" w:w="2160"/>
          </w:tcPr>
          <w:p>
            <w:r>
              <w:t>~14–20</w:t>
            </w:r>
          </w:p>
        </w:tc>
        <w:tc>
          <w:tcPr>
            <w:tcW w:type="dxa" w:w="2160"/>
          </w:tcPr>
          <w:p>
            <w:r>
              <w:t>~155–161</w:t>
            </w:r>
          </w:p>
        </w:tc>
      </w:tr>
      <w:tr>
        <w:tc>
          <w:tcPr>
            <w:tcW w:type="dxa" w:w="2160"/>
          </w:tcPr>
          <w:p>
            <w:r>
              <w:t>River</w:t>
            </w:r>
          </w:p>
        </w:tc>
        <w:tc>
          <w:tcPr>
            <w:tcW w:type="dxa" w:w="2160"/>
          </w:tcPr>
          <w:p>
            <w:r>
              <w:t>150</w:t>
            </w:r>
          </w:p>
        </w:tc>
        <w:tc>
          <w:tcPr>
            <w:tcW w:type="dxa" w:w="2160"/>
          </w:tcPr>
          <w:p>
            <w:r>
              <w:t>~13–18</w:t>
            </w:r>
          </w:p>
        </w:tc>
        <w:tc>
          <w:tcPr>
            <w:tcW w:type="dxa" w:w="2160"/>
          </w:tcPr>
          <w:p>
            <w:r>
              <w:t>~132–137</w:t>
            </w:r>
          </w:p>
        </w:tc>
      </w:tr>
      <w:tr>
        <w:tc>
          <w:tcPr>
            <w:tcW w:type="dxa" w:w="2160"/>
          </w:tcPr>
          <w:p>
            <w:r>
              <w:t>Wetlands</w:t>
            </w:r>
          </w:p>
        </w:tc>
        <w:tc>
          <w:tcPr>
            <w:tcW w:type="dxa" w:w="2160"/>
          </w:tcPr>
          <w:p>
            <w:r>
              <w:t>120</w:t>
            </w:r>
          </w:p>
        </w:tc>
        <w:tc>
          <w:tcPr>
            <w:tcW w:type="dxa" w:w="2160"/>
          </w:tcPr>
          <w:p>
            <w:r>
              <w:t>~12–18</w:t>
            </w:r>
          </w:p>
        </w:tc>
        <w:tc>
          <w:tcPr>
            <w:tcW w:type="dxa" w:w="2160"/>
          </w:tcPr>
          <w:p>
            <w:r>
              <w:t>~102–108</w:t>
            </w:r>
          </w:p>
        </w:tc>
      </w:tr>
      <w:tr>
        <w:tc>
          <w:tcPr>
            <w:tcW w:type="dxa" w:w="2160"/>
          </w:tcPr>
          <w:p>
            <w:r>
              <w:t>Coast</w:t>
            </w:r>
          </w:p>
        </w:tc>
        <w:tc>
          <w:tcPr>
            <w:tcW w:type="dxa" w:w="2160"/>
          </w:tcPr>
          <w:p>
            <w:r>
              <w:t>175</w:t>
            </w:r>
          </w:p>
        </w:tc>
        <w:tc>
          <w:tcPr>
            <w:tcW w:type="dxa" w:w="2160"/>
          </w:tcPr>
          <w:p>
            <w:r>
              <w:t>~13–18</w:t>
            </w:r>
          </w:p>
        </w:tc>
        <w:tc>
          <w:tcPr>
            <w:tcW w:type="dxa" w:w="2160"/>
          </w:tcPr>
          <w:p>
            <w:r>
              <w:t>~157–162</w:t>
            </w:r>
          </w:p>
        </w:tc>
      </w:tr>
      <w:tr>
        <w:tc>
          <w:tcPr>
            <w:tcW w:type="dxa" w:w="2160"/>
          </w:tcPr>
          <w:p>
            <w:r>
              <w:t>Mountains</w:t>
            </w:r>
          </w:p>
        </w:tc>
        <w:tc>
          <w:tcPr>
            <w:tcW w:type="dxa" w:w="2160"/>
          </w:tcPr>
          <w:p>
            <w:r>
              <w:t>60</w:t>
            </w:r>
          </w:p>
        </w:tc>
        <w:tc>
          <w:tcPr>
            <w:tcW w:type="dxa" w:w="2160"/>
          </w:tcPr>
          <w:p>
            <w:r>
              <w:t>~7–10</w:t>
            </w:r>
          </w:p>
        </w:tc>
        <w:tc>
          <w:tcPr>
            <w:tcW w:type="dxa" w:w="2160"/>
          </w:tcPr>
          <w:p>
            <w:r>
              <w:t>~50–53</w:t>
            </w:r>
          </w:p>
        </w:tc>
      </w:tr>
      <w:tr>
        <w:tc>
          <w:tcPr>
            <w:tcW w:type="dxa" w:w="2160"/>
          </w:tcPr>
          <w:p>
            <w:r>
              <w:t>Desert</w:t>
            </w:r>
          </w:p>
        </w:tc>
        <w:tc>
          <w:tcPr>
            <w:tcW w:type="dxa" w:w="2160"/>
          </w:tcPr>
          <w:p>
            <w:r>
              <w:t>80</w:t>
            </w:r>
          </w:p>
        </w:tc>
        <w:tc>
          <w:tcPr>
            <w:tcW w:type="dxa" w:w="2160"/>
          </w:tcPr>
          <w:p>
            <w:r>
              <w:t>~9–14</w:t>
            </w:r>
          </w:p>
        </w:tc>
        <w:tc>
          <w:tcPr>
            <w:tcW w:type="dxa" w:w="2160"/>
          </w:tcPr>
          <w:p>
            <w:r>
              <w:t>~66–71</w:t>
            </w:r>
          </w:p>
        </w:tc>
      </w:tr>
    </w:tbl>
    <w:p>
      <w:r>
        <w:t>These represent bad-but-plausible years in which multiple hazards overlap, not routine annual mortality. An extreme multi-hazard year can potentially cause ~20–30% local mortality and fundamentally alter a community for a generation.</w:t>
      </w:r>
    </w:p>
    <w:p>
      <w:pPr>
        <w:pStyle w:val="Heading1"/>
      </w:pPr>
      <w:r>
        <w:t>11. Major Conclusions So Far</w:t>
      </w:r>
    </w:p>
    <w:p>
      <w:pPr>
        <w:pStyle w:val="ListBullet"/>
      </w:pPr>
      <w:r>
        <w:t>Aruunites are resilient but not invulnerable.</w:t>
      </w:r>
    </w:p>
    <w:p>
      <w:pPr>
        <w:pStyle w:val="ListBullet"/>
      </w:pPr>
      <w:r>
        <w:t>Childhood is substantially more dangerous than adulthood, but surviving adults can commonly live into older age.</w:t>
      </w:r>
    </w:p>
    <w:p>
      <w:pPr>
        <w:pStyle w:val="ListBullet"/>
      </w:pPr>
      <w:r>
        <w:t>Population size itself functions as a survival technology: small communities are demographically fragile, making inter-community networks essential.</w:t>
      </w:r>
    </w:p>
    <w:p>
      <w:pPr>
        <w:pStyle w:val="ListBullet"/>
      </w:pPr>
      <w:r>
        <w:t>Culture reduces environmental mortality through cooperation, specialized knowledge, warning systems, communal childcare, food sharing, and collective response.</w:t>
      </w:r>
    </w:p>
    <w:p>
      <w:pPr>
        <w:pStyle w:val="ListBullet"/>
      </w:pPr>
      <w:r>
        <w:t>Hearth population should fluctuate rather than remain at a perfectly fixed equilibrium: good years permit growth; bad years cause contraction; migration, marriage, splitting, and inter-community support enable recovery.</w:t>
      </w:r>
    </w:p>
    <w:p>
      <w:pPr>
        <w:pStyle w:val="ListBullet"/>
      </w:pPr>
      <w:r>
        <w:t>The current model strongly supports the idea that no Aruunite community survives entirely alone, while each community still needs enough internal competence to function independently.</w:t>
      </w:r>
    </w:p>
    <w:p>
      <w:pPr>
        <w:pStyle w:val="ListBullet"/>
      </w:pPr>
      <w:r>
        <w:t>The demographic model is close to complete but is not yet final.</w:t>
      </w:r>
    </w:p>
    <w:p>
      <w:pPr>
        <w:pStyle w:val="Heading1"/>
      </w:pPr>
      <w:r>
        <w:t>12. Remaining Work Before Canonization</w:t>
      </w:r>
    </w:p>
    <w:p>
      <w:pPr>
        <w:pStyle w:val="ListBullet"/>
      </w:pPr>
      <w:r>
        <w:t>Build the Aruunite disease/pathogen library and replace the provisional disease layer with explicit biology.</w:t>
      </w:r>
    </w:p>
    <w:p>
      <w:pPr>
        <w:pStyle w:val="ListBullet"/>
      </w:pPr>
      <w:r>
        <w:t>Complete creature abundance estimates from habitat, food-web structure, territory, reproduction, and the established geology/hydrology.</w:t>
      </w:r>
    </w:p>
    <w:p>
      <w:pPr>
        <w:pStyle w:val="ListBullet"/>
      </w:pPr>
      <w:r>
        <w:t>Run biome-specific predator/megafauna encounter and injury models using those abundance estimates.</w:t>
      </w:r>
    </w:p>
    <w:p>
      <w:pPr>
        <w:pStyle w:val="ListBullet"/>
      </w:pPr>
      <w:r>
        <w:t>Refine age-specific mortality and fertility using the resulting environmental mortality.</w:t>
      </w:r>
    </w:p>
    <w:p>
      <w:pPr>
        <w:pStyle w:val="ListBullet"/>
      </w:pPr>
      <w:r>
        <w:t>Run multi-year population simulations to test recovery after bad years rather than relying only on single-year snapshots.</w:t>
      </w:r>
    </w:p>
    <w:p>
      <w:pPr>
        <w:pStyle w:val="ListBullet"/>
      </w:pPr>
      <w:r>
        <w:t>Verify that community sizes, settlement spacing, food production, births, deaths, and inter-community migration remain mutually consistent.</w:t>
      </w:r>
    </w:p>
    <w:p>
      <w:pPr>
        <w:pStyle w:val="ListBullet"/>
      </w:pPr>
      <w:r>
        <w:t>Only after those checks should the demographic values be considered candidates for canon.</w:t>
      </w:r>
    </w:p>
    <w:p>
      <w:pPr>
        <w:pStyle w:val="Heading1"/>
      </w:pPr>
      <w:r>
        <w:t>Status</w:t>
      </w:r>
    </w:p>
    <w:p>
      <w:r>
        <w:t>STATUS: Working research/simulation document. NOT CANON. Preserve all values as provisional unless separately locked in by the worldbuilding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