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0</wp:posOffset>
            </wp:positionV>
            <wp:extent cx="1372235" cy="1426845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-323848</wp:posOffset>
                </wp:positionH>
                <wp:positionV relativeFrom="paragraph">
                  <wp:posOffset>81297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-323848</wp:posOffset>
                </wp:positionH>
                <wp:positionV relativeFrom="paragraph">
                  <wp:posOffset>81297</wp:posOffset>
                </wp:positionV>
                <wp:extent cx="12700" cy="12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ТЕХНОЛОГИЧЕСКОГО ОБРАЗОВАНИЯ</w:t>
      </w:r>
    </w:p>
    <w:p w:rsidR="00000000" w:rsidDel="00000000" w:rsidP="00000000" w:rsidRDefault="00000000" w:rsidRPr="00000000" w14:paraId="00000008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ПРОХОЖДЕНИИ ПРОИЗВОДСТВЕННОЙ ПРАКТИКИ </w:t>
        <w:br w:type="textWrapping"/>
        <w:t xml:space="preserve">(научно-исследовательская работа) 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 ” 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ИТиЭО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д.п.н., проф.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доцент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кафедры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ИТиЭО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 Д.В.)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4 курса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257175</wp:posOffset>
            </wp:positionV>
            <wp:extent cx="359032" cy="359032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32" cy="359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(Щеткин Д.С.)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3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 xml:space="preserve">I. Инвариантная самостоятельная работа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15"/>
        </w:tabs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По результатам выполнения заданий  1.1-1.3 студент предоставляет разработанное техническое задание. Текстовый документ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66900" cy="186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4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интеллектуальные системы (Artificial intelligence);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биоинформатика (Bioinformatics);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когнитивные ИТ (Cognitive science);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вычислительная математика (Computational science);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компьютерные науки (Computer science);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технологии баз данных (Database engineering);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цифровые библиотеки (Digital library science);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компьютерная графика (Graphics);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человеко-машинное взаимодействие (Human-computer interaction).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изученной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проблемы.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lrzayoie66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В результате выполнения 2.1 – 2.3 студент формирует текстовый документ, оформленного в соответствии с ГОСТ. Текстовый документ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1866900" cy="1866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практики____________________________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4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256505</wp:posOffset>
            </wp:positionV>
            <wp:extent cx="359032" cy="359032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32" cy="359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4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