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76"/>
      </w:tblGrid>
      <w:tr>
        <w:tc>
          <w:tcPr>
            <w:tcW w:type="dxa" w:w="10376"/>
            <w:shd w:fill="17365D"/>
            <w:tcMar>
              <w:top w:w="760" w:type="dxa"/>
              <w:start w:w="300" w:type="dxa"/>
              <w:bottom w:w="760" w:type="dxa"/>
              <w:end w:w="300" w:type="dxa"/>
            </w:tcMar>
            <w:tcBorders>
              <w:top w:val="single" w:sz="0" w:color="17365D"/>
              <w:left w:val="single" w:sz="0" w:color="17365D"/>
              <w:bottom w:val="single" w:sz="0" w:color="17365D"/>
              <w:right w:val="single" w:sz="0" w:color="17365D"/>
            </w:tcBorders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9DC3E6"/>
                <w:sz w:val="28"/>
              </w:rPr>
              <w:t>CHAPTER 1</w:t>
            </w:r>
          </w:p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58"/>
              </w:rPr>
              <w:t>Executive Summary</w:t>
            </w:r>
          </w:p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D9EAF7"/>
                <w:sz w:val="28"/>
              </w:rPr>
              <w:t>arXiv 양자 분야 연구동향 종합분석</w:t>
            </w:r>
          </w:p>
          <w:p>
            <w:pPr>
              <w:keepNext w:val="0"/>
              <w:spacing w:before="360" w:after="80" w:line="300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D966"/>
                <w:sz w:val="23"/>
              </w:rPr>
              <w:t>2025년 6월~2026년 5월 | 12개월·2,400건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75"/>
        <w:gridCol w:w="2075"/>
        <w:gridCol w:w="2075"/>
        <w:gridCol w:w="2075"/>
        <w:gridCol w:w="2075"/>
      </w:tblGrid>
      <w:tr>
        <w:tc>
          <w:tcPr>
            <w:tcW w:type="dxa" w:w="2075"/>
            <w:shd w:fill="D9EAF7"/>
            <w:tcBorders>
              <w:top w:val="single" w:sz="7" w:color="2F75B5"/>
              <w:left w:val="single" w:sz="7" w:color="2F75B5"/>
              <w:bottom w:val="single" w:sz="7" w:color="2F75B5"/>
              <w:right w:val="single" w:sz="7" w:color="2F75B5"/>
            </w:tcBorders>
            <w:tcMar>
              <w:top w:w="100" w:type="dxa"/>
              <w:start w:w="70" w:type="dxa"/>
              <w:bottom w:w="100" w:type="dxa"/>
              <w:end w:w="7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17365D"/>
                <w:sz w:val="29"/>
              </w:rPr>
              <w:t>2,400건</w:t>
            </w:r>
          </w:p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6B7280"/>
                <w:sz w:val="17"/>
              </w:rPr>
              <w:t>분석 논문</w:t>
            </w:r>
          </w:p>
        </w:tc>
        <w:tc>
          <w:tcPr>
            <w:tcW w:type="dxa" w:w="2075"/>
            <w:shd w:fill="E2F0D9"/>
            <w:tcBorders>
              <w:top w:val="single" w:sz="7" w:color="548235"/>
              <w:left w:val="single" w:sz="7" w:color="548235"/>
              <w:bottom w:val="single" w:sz="7" w:color="548235"/>
              <w:right w:val="single" w:sz="7" w:color="548235"/>
            </w:tcBorders>
            <w:tcMar>
              <w:top w:w="100" w:type="dxa"/>
              <w:start w:w="70" w:type="dxa"/>
              <w:bottom w:w="100" w:type="dxa"/>
              <w:end w:w="7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17365D"/>
                <w:sz w:val="29"/>
              </w:rPr>
              <w:t>217편</w:t>
            </w:r>
          </w:p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6B7280"/>
                <w:sz w:val="17"/>
              </w:rPr>
              <w:t>최근 3개월 평균</w:t>
            </w:r>
          </w:p>
        </w:tc>
        <w:tc>
          <w:tcPr>
            <w:tcW w:type="dxa" w:w="2075"/>
            <w:shd w:fill="FCE4D6"/>
            <w:tcBorders>
              <w:top w:val="single" w:sz="7" w:color="ED7D31"/>
              <w:left w:val="single" w:sz="7" w:color="ED7D31"/>
              <w:bottom w:val="single" w:sz="7" w:color="ED7D31"/>
              <w:right w:val="single" w:sz="7" w:color="ED7D31"/>
            </w:tcBorders>
            <w:tcMar>
              <w:top w:w="100" w:type="dxa"/>
              <w:start w:w="70" w:type="dxa"/>
              <w:bottom w:w="100" w:type="dxa"/>
              <w:end w:w="7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17365D"/>
                <w:sz w:val="29"/>
              </w:rPr>
              <w:t>47.42%</w:t>
            </w:r>
          </w:p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6B7280"/>
                <w:sz w:val="17"/>
              </w:rPr>
              <w:t>복수 카테고리</w:t>
            </w:r>
          </w:p>
        </w:tc>
        <w:tc>
          <w:tcPr>
            <w:tcW w:type="dxa" w:w="2075"/>
            <w:shd w:fill="E4DFEC"/>
            <w:tcBorders>
              <w:top w:val="single" w:sz="7" w:color="7030A0"/>
              <w:left w:val="single" w:sz="7" w:color="7030A0"/>
              <w:bottom w:val="single" w:sz="7" w:color="7030A0"/>
              <w:right w:val="single" w:sz="7" w:color="7030A0"/>
            </w:tcBorders>
            <w:tcMar>
              <w:top w:w="100" w:type="dxa"/>
              <w:start w:w="70" w:type="dxa"/>
              <w:bottom w:w="100" w:type="dxa"/>
              <w:end w:w="7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17365D"/>
                <w:sz w:val="29"/>
              </w:rPr>
              <w:t>10,514명</w:t>
            </w:r>
          </w:p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6B7280"/>
                <w:sz w:val="17"/>
              </w:rPr>
              <w:t>고유 저자</w:t>
            </w:r>
          </w:p>
        </w:tc>
        <w:tc>
          <w:tcPr>
            <w:tcW w:type="dxa" w:w="2075"/>
            <w:shd w:fill="F2F4F7"/>
            <w:tcBorders>
              <w:top w:val="single" w:sz="7" w:color="6B7280"/>
              <w:left w:val="single" w:sz="7" w:color="6B7280"/>
              <w:bottom w:val="single" w:sz="7" w:color="6B7280"/>
              <w:right w:val="single" w:sz="7" w:color="6B7280"/>
            </w:tcBorders>
            <w:tcMar>
              <w:top w:w="100" w:type="dxa"/>
              <w:start w:w="70" w:type="dxa"/>
              <w:bottom w:w="100" w:type="dxa"/>
              <w:end w:w="7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17365D"/>
                <w:sz w:val="29"/>
              </w:rPr>
              <w:t>10.0%</w:t>
            </w:r>
          </w:p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6B7280"/>
                <w:sz w:val="17"/>
              </w:rPr>
              <w:t>국제협력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76"/>
      </w:tblGrid>
      <w:tr>
        <w:tc>
          <w:tcPr>
            <w:tcW w:type="dxa" w:w="10376"/>
            <w:shd w:fill="D9EAF7"/>
            <w:tcBorders>
              <w:top w:val="single" w:sz="8" w:color="2F75B5"/>
              <w:left w:val="single" w:sz="8" w:color="2F75B5"/>
              <w:bottom w:val="single" w:sz="8" w:color="2F75B5"/>
              <w:right w:val="single" w:sz="8" w:color="2F75B5"/>
            </w:tcBorders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keepNext w:val="0"/>
              <w:spacing w:before="0" w:after="80" w:line="240" w:lineRule="auto"/>
            </w:pPr>
            <w:r>
              <w:rPr>
                <w:rFonts w:ascii="맑은 고딕" w:hAnsi="맑은 고딕" w:eastAsia="맑은 고딕"/>
                <w:b/>
                <w:color w:val="17365D"/>
                <w:sz w:val="22"/>
              </w:rPr>
              <w:t>최종 결론</w:t>
            </w:r>
          </w:p>
          <w:p>
            <w:pPr>
              <w:keepNext w:val="0"/>
              <w:spacing w:before="0" w:after="40" w:line="288" w:lineRule="auto"/>
              <w:ind w:left="198" w:hanging="142"/>
            </w:pPr>
            <w:r>
              <w:rPr>
                <w:rFonts w:ascii="맑은 고딕" w:hAnsi="맑은 고딕" w:eastAsia="맑은 고딕"/>
                <w:b/>
                <w:color w:val="2F75B5"/>
                <w:sz w:val="19"/>
              </w:rPr>
              <w:t xml:space="preserve">• </w:t>
            </w:r>
            <w:r>
              <w:rPr>
                <w:rFonts w:ascii="맑은 고딕" w:hAnsi="맑은 고딕" w:eastAsia="맑은 고딕"/>
                <w:b w:val="0"/>
                <w:color w:val="243447"/>
                <w:sz w:val="19"/>
              </w:rPr>
              <w:t>양자 연구는 높은 활동성과 강한 양자물리 코어를 유지하면서 AI·광학·보안·소재·응용으로 확장되는 안정 성장형 융합 생태계로 판단함.</w:t>
            </w:r>
          </w:p>
          <w:p>
            <w:pPr>
              <w:keepNext w:val="0"/>
              <w:spacing w:before="0" w:after="40" w:line="288" w:lineRule="auto"/>
              <w:ind w:left="198" w:hanging="142"/>
            </w:pPr>
            <w:r>
              <w:rPr>
                <w:rFonts w:ascii="맑은 고딕" w:hAnsi="맑은 고딕" w:eastAsia="맑은 고딕"/>
                <w:b/>
                <w:color w:val="2F75B5"/>
                <w:sz w:val="19"/>
              </w:rPr>
              <w:t xml:space="preserve">• </w:t>
            </w:r>
            <w:r>
              <w:rPr>
                <w:rFonts w:ascii="맑은 고딕" w:hAnsi="맑은 고딕" w:eastAsia="맑은 고딕"/>
                <w:b w:val="0"/>
                <w:color w:val="243447"/>
                <w:sz w:val="19"/>
              </w:rPr>
              <w:t>연구 중심 경쟁은 오류정정·독립 벤치마크·PQC·양자네트워크 표준·산업 실증·공급망을 중심으로 검증·상용화 경쟁으로 이동하고 있음.</w:t>
            </w:r>
          </w:p>
          <w:p>
            <w:pPr>
              <w:keepNext w:val="0"/>
              <w:spacing w:before="0" w:after="40" w:line="288" w:lineRule="auto"/>
              <w:ind w:left="198" w:hanging="142"/>
            </w:pPr>
            <w:r>
              <w:rPr>
                <w:rFonts w:ascii="맑은 고딕" w:hAnsi="맑은 고딕" w:eastAsia="맑은 고딕"/>
                <w:b/>
                <w:color w:val="2F75B5"/>
                <w:sz w:val="19"/>
              </w:rPr>
              <w:t xml:space="preserve">• </w:t>
            </w:r>
            <w:r>
              <w:rPr>
                <w:rFonts w:ascii="맑은 고딕" w:hAnsi="맑은 고딕" w:eastAsia="맑은 고딕"/>
                <w:b w:val="0"/>
                <w:color w:val="243447"/>
                <w:sz w:val="19"/>
              </w:rPr>
              <w:t>한국은 전 기술영역의 양적 추격보다 컴퓨팅·SW/AI, 통신·보안, 센싱·계측의 선택적 선도와 소자·소재 인프라, 국제 허브·표준 연계를 결합하는 전략이 적합함.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keepNext/>
        <w:spacing w:before="240" w:after="120" w:line="240" w:lineRule="auto"/>
        <w:pBdr>
          <w:bottom w:val="single" w:sz="12" w:space="3" w:color="2F75B5"/>
        </w:pBdr>
      </w:pPr>
      <w:r>
        <w:rPr>
          <w:rFonts w:ascii="맑은 고딕" w:hAnsi="맑은 고딕" w:eastAsia="맑은 고딕"/>
          <w:b/>
          <w:color w:val="17365D"/>
          <w:sz w:val="30"/>
        </w:rPr>
        <w:t>1.1 분석 개요 및 해석 범위</w:t>
      </w:r>
    </w:p>
    <w:p>
      <w:pPr>
        <w:keepNext w:val="0"/>
        <w:spacing w:before="0" w:after="60" w:line="307" w:lineRule="auto"/>
        <w:ind w:left="272" w:hanging="193"/>
      </w:pPr>
      <w:r>
        <w:rPr>
          <w:rFonts w:ascii="맑은 고딕" w:hAnsi="맑은 고딕" w:eastAsia="맑은 고딕"/>
          <w:b/>
          <w:color w:val="2F75B5"/>
          <w:sz w:val="20"/>
        </w:rPr>
        <w:t xml:space="preserve">□ </w:t>
      </w:r>
      <w:r>
        <w:rPr>
          <w:rFonts w:ascii="맑은 고딕" w:hAnsi="맑은 고딕" w:eastAsia="맑은 고딕"/>
          <w:b/>
          <w:color w:val="243447"/>
          <w:sz w:val="20"/>
        </w:rPr>
        <w:t>분석대상은 arXiv에서 수집한 양자 관련 논문이며, 수치 비교는 데이터가 완전한 2025년 6월~2026년 5월의 12개월·2,400건을 기준으로 수행함.</w:t>
      </w:r>
    </w:p>
    <w:p>
      <w:pPr>
        <w:keepNext w:val="0"/>
        <w:spacing w:before="0" w:after="60" w:line="307" w:lineRule="auto"/>
        <w:ind w:left="272" w:hanging="193"/>
      </w:pPr>
      <w:r>
        <w:rPr>
          <w:rFonts w:ascii="맑은 고딕" w:hAnsi="맑은 고딕" w:eastAsia="맑은 고딕"/>
          <w:b/>
          <w:color w:val="6B7280"/>
          <w:sz w:val="20"/>
        </w:rPr>
        <w:t xml:space="preserve">· </w:t>
      </w:r>
      <w:r>
        <w:rPr>
          <w:rFonts w:ascii="맑은 고딕" w:hAnsi="맑은 고딕" w:eastAsia="맑은 고딕"/>
          <w:b w:val="0"/>
          <w:color w:val="243447"/>
          <w:sz w:val="20"/>
        </w:rPr>
        <w:t>2026년 6월은 수집 종료일에 따른 부분월 27건으로 확인되어 연구량·성장률·분야·주체·협업의 비교분석에서 제외함.</w:t>
      </w:r>
    </w:p>
    <w:p>
      <w:pPr>
        <w:keepNext w:val="0"/>
        <w:spacing w:before="0" w:after="60" w:line="307" w:lineRule="auto"/>
        <w:ind w:left="272" w:hanging="193"/>
      </w:pPr>
      <w:r>
        <w:rPr>
          <w:rFonts w:ascii="맑은 고딕" w:hAnsi="맑은 고딕" w:eastAsia="맑은 고딕"/>
          <w:b/>
          <w:color w:val="6B7280"/>
          <w:sz w:val="20"/>
        </w:rPr>
        <w:t xml:space="preserve">· </w:t>
      </w:r>
      <w:r>
        <w:rPr>
          <w:rFonts w:ascii="맑은 고딕" w:hAnsi="맑은 고딕" w:eastAsia="맑은 고딕"/>
          <w:b w:val="0"/>
          <w:color w:val="243447"/>
          <w:sz w:val="20"/>
        </w:rPr>
        <w:t>검색식은 제목의 QUANTUM·QUANTOMETER·QUANTIZATION과 센싱·검출·계측·컴퓨팅·통신 관련 용어를 결합하여 기술연관성이 높은 논문을 수집함.</w:t>
      </w:r>
    </w:p>
    <w:p>
      <w:pPr>
        <w:keepNext w:val="0"/>
        <w:spacing w:before="0" w:after="60" w:line="307" w:lineRule="auto"/>
        <w:ind w:left="272" w:hanging="193"/>
      </w:pPr>
      <w:r>
        <w:rPr>
          <w:rFonts w:ascii="맑은 고딕" w:hAnsi="맑은 고딕" w:eastAsia="맑은 고딕"/>
          <w:b/>
          <w:color w:val="6B7280"/>
          <w:sz w:val="20"/>
        </w:rPr>
        <w:t xml:space="preserve">· </w:t>
      </w:r>
      <w:r>
        <w:rPr>
          <w:rFonts w:ascii="맑은 고딕" w:hAnsi="맑은 고딕" w:eastAsia="맑은 고딕"/>
          <w:b w:val="0"/>
          <w:color w:val="243447"/>
          <w:sz w:val="20"/>
        </w:rPr>
        <w:t>arXiv의 신속성을 활용해 최신 연구활동을 포착하되, 동료평가·인용·특허·시장성과를 직접 의미하지 않는다는 한계를 전제로 해석함.</w:t>
      </w:r>
    </w:p>
    <w:p>
      <w:pPr>
        <w:keepNext w:val="0"/>
        <w:spacing w:before="0" w:after="60" w:line="307" w:lineRule="auto"/>
        <w:ind w:left="272" w:hanging="193"/>
      </w:pPr>
      <w:r>
        <w:rPr>
          <w:rFonts w:ascii="맑은 고딕" w:hAnsi="맑은 고딕" w:eastAsia="맑은 고딕"/>
          <w:b/>
          <w:color w:val="6B7280"/>
          <w:sz w:val="20"/>
        </w:rPr>
        <w:t xml:space="preserve">· </w:t>
      </w:r>
      <w:r>
        <w:rPr>
          <w:rFonts w:ascii="맑은 고딕" w:hAnsi="맑은 고딕" w:eastAsia="맑은 고딕"/>
          <w:b w:val="0"/>
          <w:color w:val="243447"/>
          <w:sz w:val="20"/>
        </w:rPr>
        <w:t>Executive Summary는 제2~7장의 정량결과와 최신 시장·기술·정책·표준화 자료를 결합하여 의사결정에 필요한 핵심 판단과 실행방향을 요약함.</w:t>
      </w:r>
    </w:p>
    <w:p>
      <w:pPr>
        <w:keepNext/>
        <w:spacing w:before="60" w:after="120" w:line="240" w:lineRule="auto"/>
        <w:jc w:val="left"/>
      </w:pPr>
      <w:r>
        <w:rPr>
          <w:rFonts w:ascii="맑은 고딕" w:hAnsi="맑은 고딕" w:eastAsia="맑은 고딕"/>
          <w:b/>
          <w:color w:val="17365D"/>
          <w:sz w:val="18"/>
        </w:rPr>
        <w:t>표 1-1. 분석 범위와 핵심 품질관리 기준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9"/>
        <w:gridCol w:w="3459"/>
        <w:gridCol w:w="3459"/>
      </w:tblGrid>
      <w:tr>
        <w:tc>
          <w:tcPr>
            <w:tcW w:type="dxa" w:w="1928"/>
            <w:shd w:fill="17365D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항목</w:t>
            </w:r>
          </w:p>
        </w:tc>
        <w:tc>
          <w:tcPr>
            <w:tcW w:type="dxa" w:w="3402"/>
            <w:shd w:fill="17365D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적용 기준</w:t>
            </w:r>
          </w:p>
        </w:tc>
        <w:tc>
          <w:tcPr>
            <w:tcW w:type="dxa" w:w="5329"/>
            <w:shd w:fill="17365D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품질관리·해석 원칙</w:t>
            </w:r>
          </w:p>
        </w:tc>
      </w:tr>
      <w:tr>
        <w:tc>
          <w:tcPr>
            <w:tcW w:type="dxa" w:w="1928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6"/>
              </w:rPr>
              <w:t>분석기간</w:t>
            </w:r>
          </w:p>
        </w:tc>
        <w:tc>
          <w:tcPr>
            <w:tcW w:type="dxa" w:w="3402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2025년 6월~2026년 5월</w:t>
            </w:r>
          </w:p>
        </w:tc>
        <w:tc>
          <w:tcPr>
            <w:tcW w:type="dxa" w:w="5329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2026년 6월 부분월을 제외하여 월별 비교 왜곡을 방지함</w:t>
            </w:r>
          </w:p>
        </w:tc>
      </w:tr>
      <w:tr>
        <w:tc>
          <w:tcPr>
            <w:tcW w:type="dxa" w:w="1928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6"/>
              </w:rPr>
              <w:t>분석대상</w:t>
            </w:r>
          </w:p>
        </w:tc>
        <w:tc>
          <w:tcPr>
            <w:tcW w:type="dxa" w:w="3402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arXiv 논문 2,400건</w:t>
            </w:r>
          </w:p>
        </w:tc>
        <w:tc>
          <w:tcPr>
            <w:tcW w:type="dxa" w:w="5329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제목 검색식 기반 선행신호로 활용하고 전문 정합성 검증을 병행함</w:t>
            </w:r>
          </w:p>
        </w:tc>
      </w:tr>
      <w:tr>
        <w:tc>
          <w:tcPr>
            <w:tcW w:type="dxa" w:w="1928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6"/>
              </w:rPr>
              <w:t>분야분석</w:t>
            </w:r>
          </w:p>
        </w:tc>
        <w:tc>
          <w:tcPr>
            <w:tcW w:type="dxa" w:w="3402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주 카테고리와 전체 카테고리</w:t>
            </w:r>
          </w:p>
        </w:tc>
        <w:tc>
          <w:tcPr>
            <w:tcW w:type="dxa" w:w="5329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학술분류를 국문 중심으로 제시하고 실무 기술축에 N:M 재매핑함</w:t>
            </w:r>
          </w:p>
        </w:tc>
      </w:tr>
      <w:tr>
        <w:tc>
          <w:tcPr>
            <w:tcW w:type="dxa" w:w="1928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6"/>
              </w:rPr>
              <w:t>주체분석</w:t>
            </w:r>
          </w:p>
        </w:tc>
        <w:tc>
          <w:tcPr>
            <w:tcW w:type="dxa" w:w="3402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저자·제1저자·기관·국가</w:t>
            </w:r>
          </w:p>
        </w:tc>
        <w:tc>
          <w:tcPr>
            <w:tcW w:type="dxa" w:w="5329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국가는 제1저자 국가와 전체 기관 국가를 병렬 적용함</w:t>
            </w:r>
          </w:p>
        </w:tc>
      </w:tr>
      <w:tr>
        <w:tc>
          <w:tcPr>
            <w:tcW w:type="dxa" w:w="1928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6"/>
              </w:rPr>
              <w:t>협업분석</w:t>
            </w:r>
          </w:p>
        </w:tc>
        <w:tc>
          <w:tcPr>
            <w:tcW w:type="dxa" w:w="3402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공저·다기관·국제협력</w:t>
            </w:r>
          </w:p>
        </w:tc>
        <w:tc>
          <w:tcPr>
            <w:tcW w:type="dxa" w:w="5329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기관명 표준화와 국가정보 커버리지 한계를 병기함</w:t>
            </w:r>
          </w:p>
        </w:tc>
      </w:tr>
      <w:tr>
        <w:tc>
          <w:tcPr>
            <w:tcW w:type="dxa" w:w="1928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6"/>
              </w:rPr>
              <w:t>정성분석</w:t>
            </w:r>
          </w:p>
        </w:tc>
        <w:tc>
          <w:tcPr>
            <w:tcW w:type="dxa" w:w="3402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시장·정책·표준·기업 로드맵</w:t>
            </w:r>
          </w:p>
        </w:tc>
        <w:tc>
          <w:tcPr>
            <w:tcW w:type="dxa" w:w="5329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분석기간 이후 자료는 향후 환경신호로 구분함</w:t>
            </w:r>
          </w:p>
        </w:tc>
      </w:tr>
    </w:tbl>
    <w:p>
      <w:pPr>
        <w:spacing w:after="0"/>
      </w:pPr>
    </w:p>
    <w:p>
      <w:pPr>
        <w:keepNext/>
        <w:spacing w:before="240" w:after="120" w:line="240" w:lineRule="auto"/>
        <w:pBdr>
          <w:bottom w:val="single" w:sz="12" w:space="3" w:color="2F75B5"/>
        </w:pBdr>
      </w:pPr>
      <w:r>
        <w:rPr>
          <w:rFonts w:ascii="맑은 고딕" w:hAnsi="맑은 고딕" w:eastAsia="맑은 고딕"/>
          <w:b/>
          <w:color w:val="17365D"/>
          <w:sz w:val="30"/>
        </w:rPr>
        <w:t>1.2 핵심 분석결과</w:t>
      </w:r>
    </w:p>
    <w:p>
      <w:r>
        <w:drawing>
          <wp:inline xmlns:a="http://schemas.openxmlformats.org/drawingml/2006/main" xmlns:pic="http://schemas.openxmlformats.org/drawingml/2006/picture">
            <wp:extent cx="6516000" cy="333752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es_1_dashboar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16000" cy="33375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60" w:after="120" w:line="240" w:lineRule="auto"/>
        <w:jc w:val="center"/>
      </w:pPr>
      <w:r>
        <w:rPr>
          <w:rFonts w:ascii="맑은 고딕" w:hAnsi="맑은 고딕" w:eastAsia="맑은 고딕"/>
          <w:b/>
          <w:color w:val="6B7280"/>
          <w:sz w:val="18"/>
        </w:rPr>
        <w:t>그림 1-1. 양자 분야 분석 핵심 대시보드</w:t>
      </w:r>
    </w:p>
    <w:p>
      <w:pPr>
        <w:keepNext/>
        <w:spacing w:before="60" w:after="120" w:line="240" w:lineRule="auto"/>
        <w:jc w:val="left"/>
      </w:pPr>
      <w:r>
        <w:rPr>
          <w:rFonts w:ascii="맑은 고딕" w:hAnsi="맑은 고딕" w:eastAsia="맑은 고딕"/>
          <w:b/>
          <w:color w:val="17365D"/>
          <w:sz w:val="18"/>
        </w:rPr>
        <w:t>표 1-2. 분야별 핵심 결과와 종합 해석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9"/>
        <w:gridCol w:w="3459"/>
        <w:gridCol w:w="3459"/>
      </w:tblGrid>
      <w:tr>
        <w:tc>
          <w:tcPr>
            <w:tcW w:type="dxa" w:w="1928"/>
            <w:shd w:fill="17365D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분석 영역</w:t>
            </w:r>
          </w:p>
        </w:tc>
        <w:tc>
          <w:tcPr>
            <w:tcW w:type="dxa" w:w="3572"/>
            <w:shd w:fill="17365D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핵심 수치</w:t>
            </w:r>
          </w:p>
        </w:tc>
        <w:tc>
          <w:tcPr>
            <w:tcW w:type="dxa" w:w="5159"/>
            <w:shd w:fill="17365D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핵심 해석</w:t>
            </w:r>
          </w:p>
        </w:tc>
      </w:tr>
      <w:tr>
        <w:tc>
          <w:tcPr>
            <w:tcW w:type="dxa" w:w="1928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6"/>
              </w:rPr>
              <w:t>연구 규모·성장</w:t>
            </w:r>
          </w:p>
        </w:tc>
        <w:tc>
          <w:tcPr>
            <w:tcW w:type="dxa" w:w="3572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2,400건·월평균 200.0편·최근 3개월 217.0편</w:t>
            </w:r>
          </w:p>
        </w:tc>
        <w:tc>
          <w:tcPr>
            <w:tcW w:type="dxa" w:w="5159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급격한 일회성 팽창보다 높은 기반에서 조정과 재상승이 반복되는 안정 성장형 구조로 보임</w:t>
            </w:r>
          </w:p>
        </w:tc>
      </w:tr>
      <w:tr>
        <w:tc>
          <w:tcPr>
            <w:tcW w:type="dxa" w:w="1928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6"/>
              </w:rPr>
              <w:t>분야·카테고리</w:t>
            </w:r>
          </w:p>
        </w:tc>
        <w:tc>
          <w:tcPr>
            <w:tcW w:type="dxa" w:w="3572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양자물리(quant-ph) 1,680건·70.00%, 복수 카테고리 47.42%</w:t>
            </w:r>
          </w:p>
        </w:tc>
        <w:tc>
          <w:tcPr>
            <w:tcW w:type="dxa" w:w="5159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원천과학 코어가 강하면서 AI·광학·보안·응집물질·응용물리로 융합이 확장됨</w:t>
            </w:r>
          </w:p>
        </w:tc>
      </w:tr>
      <w:tr>
        <w:tc>
          <w:tcPr>
            <w:tcW w:type="dxa" w:w="1928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6"/>
              </w:rPr>
              <w:t>연구 주체</w:t>
            </w:r>
          </w:p>
        </w:tc>
        <w:tc>
          <w:tcPr>
            <w:tcW w:type="dxa" w:w="3572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저자 10,514명·제1저자 2,248명·기관 1,995개·35개국</w:t>
            </w:r>
          </w:p>
        </w:tc>
        <w:tc>
          <w:tcPr>
            <w:tcW w:type="dxa" w:w="5159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개인·기관은 롱테일형으로 분산되나 연구량과 인프라는 주요국에 집중됨</w:t>
            </w:r>
          </w:p>
        </w:tc>
      </w:tr>
      <w:tr>
        <w:tc>
          <w:tcPr>
            <w:tcW w:type="dxa" w:w="1928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6"/>
              </w:rPr>
              <w:t>협업 구조</w:t>
            </w:r>
          </w:p>
        </w:tc>
        <w:tc>
          <w:tcPr>
            <w:tcW w:type="dxa" w:w="3572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공동저자 88.0%·다기관 29.6%·국제협력 10.0%</w:t>
            </w:r>
          </w:p>
        </w:tc>
        <w:tc>
          <w:tcPr>
            <w:tcW w:type="dxa" w:w="5159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팀 연구는 보편적이나 기관·국가 경계를 넘는 협업은 선택적으로 형성됨</w:t>
            </w:r>
          </w:p>
        </w:tc>
      </w:tr>
      <w:tr>
        <w:tc>
          <w:tcPr>
            <w:tcW w:type="dxa" w:w="1928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6"/>
              </w:rPr>
              <w:t>전략 전환</w:t>
            </w:r>
          </w:p>
        </w:tc>
        <w:tc>
          <w:tcPr>
            <w:tcW w:type="dxa" w:w="3572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오류정정·검증·표준·실증·공급망 정책 확대</w:t>
            </w:r>
          </w:p>
        </w:tc>
        <w:tc>
          <w:tcPr>
            <w:tcW w:type="dxa" w:w="5159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6"/>
              </w:rPr>
              <w:t>논문 중심 경쟁에서 유용성·경제성·상호운용·배치가능성 경쟁으로 이동함</w:t>
            </w:r>
          </w:p>
        </w:tc>
      </w:tr>
    </w:tbl>
    <w:p>
      <w:pPr>
        <w:spacing w:after="0"/>
      </w:pPr>
    </w:p>
    <w:p>
      <w:pPr>
        <w:keepNext/>
        <w:spacing w:before="240" w:after="120" w:line="240" w:lineRule="auto"/>
        <w:pBdr>
          <w:bottom w:val="single" w:sz="12" w:space="3" w:color="2F75B5"/>
        </w:pBdr>
      </w:pPr>
      <w:r>
        <w:rPr>
          <w:rFonts w:ascii="맑은 고딕" w:hAnsi="맑은 고딕" w:eastAsia="맑은 고딕"/>
          <w:b/>
          <w:color w:val="17365D"/>
          <w:sz w:val="30"/>
        </w:rPr>
        <w:t>1.3 연구 규모·성장: 고활동 기반과 최근 재상승</w:t>
      </w:r>
    </w:p>
    <w:p>
      <w:r>
        <w:drawing>
          <wp:inline xmlns:a="http://schemas.openxmlformats.org/drawingml/2006/main" xmlns:pic="http://schemas.openxmlformats.org/drawingml/2006/picture">
            <wp:extent cx="6480000" cy="273330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es_2_growth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7333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60" w:after="120" w:line="240" w:lineRule="auto"/>
        <w:jc w:val="center"/>
      </w:pPr>
      <w:r>
        <w:rPr>
          <w:rFonts w:ascii="맑은 고딕" w:hAnsi="맑은 고딕" w:eastAsia="맑은 고딕"/>
          <w:b/>
          <w:color w:val="6B7280"/>
          <w:sz w:val="18"/>
        </w:rPr>
        <w:t>그림 1-2. 월별 연구활동과 최근 모멘텀</w:t>
      </w:r>
    </w:p>
    <w:p>
      <w:pPr>
        <w:keepNext w:val="0"/>
        <w:spacing w:before="0" w:after="60" w:line="307" w:lineRule="auto"/>
        <w:ind w:left="272" w:hanging="193"/>
      </w:pPr>
      <w:r>
        <w:rPr>
          <w:rFonts w:ascii="맑은 고딕" w:hAnsi="맑은 고딕" w:eastAsia="맑은 고딕"/>
          <w:b/>
          <w:color w:val="2F75B5"/>
          <w:sz w:val="20"/>
        </w:rPr>
        <w:t xml:space="preserve">□ </w:t>
      </w:r>
      <w:r>
        <w:rPr>
          <w:rFonts w:ascii="맑은 고딕" w:hAnsi="맑은 고딕" w:eastAsia="맑은 고딕"/>
          <w:b/>
          <w:color w:val="243447"/>
          <w:sz w:val="20"/>
        </w:rPr>
        <w:t>월별 논문 수는 165~229편 범위이며 월평균 200.0편, 변동계수 11.1%로 나타나 높은 연구활동이 비교적 안정적으로 유지됨.</w:t>
      </w:r>
    </w:p>
    <w:p>
      <w:pPr>
        <w:keepNext w:val="0"/>
        <w:spacing w:before="0" w:after="60" w:line="307" w:lineRule="auto"/>
        <w:ind w:left="272" w:hanging="193"/>
      </w:pPr>
      <w:r>
        <w:rPr>
          <w:rFonts w:ascii="맑은 고딕" w:hAnsi="맑은 고딕" w:eastAsia="맑은 고딕"/>
          <w:b/>
          <w:color w:val="6B7280"/>
          <w:sz w:val="20"/>
        </w:rPr>
        <w:t xml:space="preserve">· </w:t>
      </w:r>
      <w:r>
        <w:rPr>
          <w:rFonts w:ascii="맑은 고딕" w:hAnsi="맑은 고딕" w:eastAsia="맑은 고딕"/>
          <w:b w:val="0"/>
          <w:color w:val="243447"/>
          <w:sz w:val="20"/>
        </w:rPr>
        <w:t>최근 3개월 평균은 217.0편으로 전체 월평균보다 8.5% 높고 후반 6개월 논문량은 전반기보다 약 5.0% 증가함.</w:t>
      </w:r>
    </w:p>
    <w:p>
      <w:pPr>
        <w:keepNext w:val="0"/>
        <w:spacing w:before="0" w:after="60" w:line="307" w:lineRule="auto"/>
        <w:ind w:left="272" w:hanging="193"/>
      </w:pPr>
      <w:r>
        <w:rPr>
          <w:rFonts w:ascii="맑은 고딕" w:hAnsi="맑은 고딕" w:eastAsia="맑은 고딕"/>
          <w:b/>
          <w:color w:val="6B7280"/>
          <w:sz w:val="20"/>
        </w:rPr>
        <w:t xml:space="preserve">· </w:t>
      </w:r>
      <w:r>
        <w:rPr>
          <w:rFonts w:ascii="맑은 고딕" w:hAnsi="맑은 고딕" w:eastAsia="맑은 고딕"/>
          <w:b w:val="0"/>
          <w:color w:val="243447"/>
          <w:sz w:val="20"/>
        </w:rPr>
        <w:t>2025년 11월과 2026년 2월의 조정 이후 2026년 3~5월 211~220편 수준으로 회복되어 연구 파이프라인의 복원력이 확인됨.</w:t>
      </w:r>
    </w:p>
    <w:p>
      <w:pPr>
        <w:keepNext w:val="0"/>
        <w:spacing w:before="0" w:after="60" w:line="307" w:lineRule="auto"/>
        <w:ind w:left="272" w:hanging="193"/>
      </w:pPr>
      <w:r>
        <w:rPr>
          <w:rFonts w:ascii="맑은 고딕" w:hAnsi="맑은 고딕" w:eastAsia="맑은 고딕"/>
          <w:b/>
          <w:color w:val="6B7280"/>
          <w:sz w:val="20"/>
        </w:rPr>
        <w:t xml:space="preserve">· </w:t>
      </w:r>
      <w:r>
        <w:rPr>
          <w:rFonts w:ascii="맑은 고딕" w:hAnsi="맑은 고딕" w:eastAsia="맑은 고딕"/>
          <w:b w:val="0"/>
          <w:color w:val="243447"/>
          <w:sz w:val="20"/>
        </w:rPr>
        <w:t>성장 해석은 12개월이라는 짧은 기간을 고려하여 급성장으로 단정하지 않고 지속 모니터링이 필요한 안정 확장 신호로 판단함.</w:t>
      </w:r>
    </w:p>
    <w:p>
      <w:pPr>
        <w:keepNext/>
        <w:spacing w:before="240" w:after="120" w:line="240" w:lineRule="auto"/>
        <w:pBdr>
          <w:bottom w:val="single" w:sz="12" w:space="3" w:color="2F75B5"/>
        </w:pBdr>
      </w:pPr>
      <w:r>
        <w:rPr>
          <w:rFonts w:ascii="맑은 고딕" w:hAnsi="맑은 고딕" w:eastAsia="맑은 고딕"/>
          <w:b/>
          <w:color w:val="17365D"/>
          <w:sz w:val="30"/>
        </w:rPr>
        <w:t>1.4 분야·융합: 강한 양자 코어와 응용 확장의 공존</w:t>
      </w:r>
    </w:p>
    <w:p>
      <w:pPr>
        <w:keepNext w:val="0"/>
        <w:spacing w:before="0" w:after="60" w:line="307" w:lineRule="auto"/>
        <w:ind w:left="272" w:hanging="193"/>
      </w:pPr>
      <w:r>
        <w:rPr>
          <w:rFonts w:ascii="맑은 고딕" w:hAnsi="맑은 고딕" w:eastAsia="맑은 고딕"/>
          <w:b/>
          <w:color w:val="2F75B5"/>
          <w:sz w:val="20"/>
        </w:rPr>
        <w:t xml:space="preserve">□ </w:t>
      </w:r>
      <w:r>
        <w:rPr>
          <w:rFonts w:ascii="맑은 고딕" w:hAnsi="맑은 고딕" w:eastAsia="맑은 고딕"/>
          <w:b/>
          <w:color w:val="243447"/>
          <w:sz w:val="20"/>
        </w:rPr>
        <w:t>주 카테고리 기준 양자물리(quant-ph)가 1,680건·70.00%로 분석대상의 과학적 중심축을 형성함.</w:t>
      </w:r>
    </w:p>
    <w:p>
      <w:pPr>
        <w:keepNext w:val="0"/>
        <w:spacing w:before="0" w:after="60" w:line="307" w:lineRule="auto"/>
        <w:ind w:left="272" w:hanging="193"/>
      </w:pPr>
      <w:r>
        <w:rPr>
          <w:rFonts w:ascii="맑은 고딕" w:hAnsi="맑은 고딕" w:eastAsia="맑은 고딕"/>
          <w:b/>
          <w:color w:val="6B7280"/>
          <w:sz w:val="20"/>
        </w:rPr>
        <w:t xml:space="preserve">· </w:t>
      </w:r>
      <w:r>
        <w:rPr>
          <w:rFonts w:ascii="맑은 고딕" w:hAnsi="맑은 고딕" w:eastAsia="맑은 고딕"/>
          <w:b w:val="0"/>
          <w:color w:val="243447"/>
          <w:sz w:val="20"/>
        </w:rPr>
        <w:t>전체 카테고리는 117개, 복수 카테고리 논문은 1,138건·47.42%로 나타나 코어 집중 내부에서 다학제 융합이 보편화됨.</w:t>
      </w:r>
    </w:p>
    <w:p>
      <w:pPr>
        <w:keepNext w:val="0"/>
        <w:spacing w:before="0" w:after="60" w:line="307" w:lineRule="auto"/>
        <w:ind w:left="272" w:hanging="193"/>
      </w:pPr>
      <w:r>
        <w:rPr>
          <w:rFonts w:ascii="맑은 고딕" w:hAnsi="맑은 고딕" w:eastAsia="맑은 고딕"/>
          <w:b/>
          <w:color w:val="6B7280"/>
          <w:sz w:val="20"/>
        </w:rPr>
        <w:t xml:space="preserve">· </w:t>
      </w:r>
      <w:r>
        <w:rPr>
          <w:rFonts w:ascii="맑은 고딕" w:hAnsi="맑은 고딕" w:eastAsia="맑은 고딕"/>
          <w:b w:val="0"/>
          <w:color w:val="243447"/>
          <w:sz w:val="20"/>
        </w:rPr>
        <w:t>기계학습(cs.LG), 암호/보안(cs.CR), 광학(physics.optics), 메조스코픽/홀 효과(cond-mat.mes-hall), 통계역학(cond-mat.stat-mech)이 주요 연결축으로 확인됨.</w:t>
      </w:r>
    </w:p>
    <w:p>
      <w:pPr>
        <w:keepNext w:val="0"/>
        <w:spacing w:before="0" w:after="60" w:line="307" w:lineRule="auto"/>
        <w:ind w:left="272" w:hanging="193"/>
      </w:pPr>
      <w:r>
        <w:rPr>
          <w:rFonts w:ascii="맑은 고딕" w:hAnsi="맑은 고딕" w:eastAsia="맑은 고딕"/>
          <w:b/>
          <w:color w:val="6B7280"/>
          <w:sz w:val="20"/>
        </w:rPr>
        <w:t xml:space="preserve">· </w:t>
      </w:r>
      <w:r>
        <w:rPr>
          <w:rFonts w:ascii="맑은 고딕" w:hAnsi="맑은 고딕" w:eastAsia="맑은 고딕"/>
          <w:b w:val="0"/>
          <w:color w:val="243447"/>
          <w:sz w:val="20"/>
        </w:rPr>
        <w:t>학술 카테고리를 산업전략에 활용하려면 양자컴퓨팅·SW/AI, 양자통신·보안, 양자센싱·계측, 양자소자·소재, 양자이론·시뮬레이션, 양자화학·산업응용의 6대 기술축으로 재매핑하는 것이 적합함.</w:t>
      </w:r>
    </w:p>
    <w:p>
      <w:pPr>
        <w:keepNext/>
        <w:spacing w:before="240" w:after="120" w:line="240" w:lineRule="auto"/>
        <w:pBdr>
          <w:bottom w:val="single" w:sz="12" w:space="3" w:color="2F75B5"/>
        </w:pBdr>
      </w:pPr>
      <w:r>
        <w:rPr>
          <w:rFonts w:ascii="맑은 고딕" w:hAnsi="맑은 고딕" w:eastAsia="맑은 고딕"/>
          <w:b/>
          <w:color w:val="17365D"/>
          <w:sz w:val="30"/>
        </w:rPr>
        <w:t>1.5 연구 주체·협업: 넓은 저변과 국가·허브 집중의 이중 구조</w:t>
      </w:r>
    </w:p>
    <w:p>
      <w:pPr>
        <w:keepNext w:val="0"/>
        <w:spacing w:before="0" w:after="60" w:line="307" w:lineRule="auto"/>
        <w:ind w:left="272" w:hanging="193"/>
      </w:pPr>
      <w:r>
        <w:rPr>
          <w:rFonts w:ascii="맑은 고딕" w:hAnsi="맑은 고딕" w:eastAsia="맑은 고딕"/>
          <w:b/>
          <w:color w:val="2F75B5"/>
          <w:sz w:val="20"/>
        </w:rPr>
        <w:t xml:space="preserve">□ </w:t>
      </w:r>
      <w:r>
        <w:rPr>
          <w:rFonts w:ascii="맑은 고딕" w:hAnsi="맑은 고딕" w:eastAsia="맑은 고딕"/>
          <w:b/>
          <w:color w:val="243447"/>
          <w:sz w:val="20"/>
        </w:rPr>
        <w:t>고유 저자 10,514명, 제1저자 2,248명, 유효 기관 1,995개가 확인되어 개인·기관 단위 연구생태계는 광범위하게 분산됨.</w:t>
      </w:r>
    </w:p>
    <w:p>
      <w:pPr>
        <w:keepNext w:val="0"/>
        <w:spacing w:before="0" w:after="60" w:line="307" w:lineRule="auto"/>
        <w:ind w:left="272" w:hanging="193"/>
      </w:pPr>
      <w:r>
        <w:rPr>
          <w:rFonts w:ascii="맑은 고딕" w:hAnsi="맑은 고딕" w:eastAsia="맑은 고딕"/>
          <w:b/>
          <w:color w:val="6B7280"/>
          <w:sz w:val="20"/>
        </w:rPr>
        <w:t xml:space="preserve">· </w:t>
      </w:r>
      <w:r>
        <w:rPr>
          <w:rFonts w:ascii="맑은 고딕" w:hAnsi="맑은 고딕" w:eastAsia="맑은 고딕"/>
          <w:b w:val="0"/>
          <w:color w:val="243447"/>
          <w:sz w:val="20"/>
        </w:rPr>
        <w:t>공동저자 연구는 2,113건·88.0%이며 평균 저자 5.41명, 중앙값 4명으로 소·중규모 팀이 양자 연구의 기본 단위로 나타남.</w:t>
      </w:r>
    </w:p>
    <w:p>
      <w:pPr>
        <w:keepNext w:val="0"/>
        <w:spacing w:before="0" w:after="60" w:line="307" w:lineRule="auto"/>
        <w:ind w:left="272" w:hanging="193"/>
      </w:pPr>
      <w:r>
        <w:rPr>
          <w:rFonts w:ascii="맑은 고딕" w:hAnsi="맑은 고딕" w:eastAsia="맑은 고딕"/>
          <w:b/>
          <w:color w:val="6B7280"/>
          <w:sz w:val="20"/>
        </w:rPr>
        <w:t xml:space="preserve">· </w:t>
      </w:r>
      <w:r>
        <w:rPr>
          <w:rFonts w:ascii="맑은 고딕" w:hAnsi="맑은 고딕" w:eastAsia="맑은 고딕"/>
          <w:b w:val="0"/>
          <w:color w:val="243447"/>
          <w:sz w:val="20"/>
        </w:rPr>
        <w:t>다기관 연구는 710건·29.6%, 국제협력은 241건·10.0%로 나타나 연구자 협업에 비해 기관·국가 간 협력은 제한적임.</w:t>
      </w:r>
    </w:p>
    <w:p>
      <w:pPr>
        <w:keepNext w:val="0"/>
        <w:spacing w:before="0" w:after="60" w:line="307" w:lineRule="auto"/>
        <w:ind w:left="272" w:hanging="193"/>
      </w:pPr>
      <w:r>
        <w:rPr>
          <w:rFonts w:ascii="맑은 고딕" w:hAnsi="맑은 고딕" w:eastAsia="맑은 고딕"/>
          <w:b/>
          <w:color w:val="6B7280"/>
          <w:sz w:val="20"/>
        </w:rPr>
        <w:t xml:space="preserve">· </w:t>
      </w:r>
      <w:r>
        <w:rPr>
          <w:rFonts w:ascii="맑은 고딕" w:hAnsi="맑은 고딕" w:eastAsia="맑은 고딕"/>
          <w:b w:val="0"/>
          <w:color w:val="243447"/>
          <w:sz w:val="20"/>
        </w:rPr>
        <w:t>미국은 제1저자 국가 453건과 기관 국가 524건으로 연구 주도성과 참여 외연 모두 1위이며 독일·영국은 연구량 대비 국제 허브성이 강함.</w:t>
      </w:r>
    </w:p>
    <w:p>
      <w:pPr>
        <w:keepNext w:val="0"/>
        <w:spacing w:before="0" w:after="60" w:line="307" w:lineRule="auto"/>
        <w:ind w:left="272" w:hanging="193"/>
      </w:pPr>
      <w:r>
        <w:rPr>
          <w:rFonts w:ascii="맑은 고딕" w:hAnsi="맑은 고딕" w:eastAsia="맑은 고딕"/>
          <w:b/>
          <w:color w:val="6B7280"/>
          <w:sz w:val="20"/>
        </w:rPr>
        <w:t xml:space="preserve">· </w:t>
      </w:r>
      <w:r>
        <w:rPr>
          <w:rFonts w:ascii="맑은 고딕" w:hAnsi="맑은 고딕" w:eastAsia="맑은 고딕"/>
          <w:b w:val="0"/>
          <w:color w:val="243447"/>
          <w:sz w:val="20"/>
        </w:rPr>
        <w:t>한국은 제1저자 국가 44건과 기관 국가 48건으로 12위 수준의 기반을 보유하나 규모와 국제 네트워크 외연의 확대가 요구됨.</w:t>
      </w:r>
    </w:p>
    <w:p>
      <w:r>
        <w:drawing>
          <wp:inline xmlns:a="http://schemas.openxmlformats.org/drawingml/2006/main" xmlns:pic="http://schemas.openxmlformats.org/drawingml/2006/picture">
            <wp:extent cx="5652000" cy="397639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es_4_countr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52000" cy="39763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60" w:after="120" w:line="240" w:lineRule="auto"/>
        <w:jc w:val="center"/>
      </w:pPr>
      <w:r>
        <w:rPr>
          <w:rFonts w:ascii="맑은 고딕" w:hAnsi="맑은 고딕" w:eastAsia="맑은 고딕"/>
          <w:b/>
          <w:color w:val="6B7280"/>
          <w:sz w:val="18"/>
        </w:rPr>
        <w:t>그림 1-3. 주요국 연구 주도–참여 포지션</w:t>
      </w:r>
    </w:p>
    <w:p>
      <w:pPr>
        <w:keepNext/>
        <w:spacing w:before="240" w:after="120" w:line="240" w:lineRule="auto"/>
        <w:pBdr>
          <w:bottom w:val="single" w:sz="12" w:space="3" w:color="2F75B5"/>
        </w:pBdr>
      </w:pPr>
      <w:r>
        <w:rPr>
          <w:rFonts w:ascii="맑은 고딕" w:hAnsi="맑은 고딕" w:eastAsia="맑은 고딕"/>
          <w:b/>
          <w:color w:val="17365D"/>
          <w:sz w:val="30"/>
        </w:rPr>
        <w:t>1.6 시장·기술·정책 환경: 연구에서 검증·표준·배치로 이동</w:t>
      </w:r>
    </w:p>
    <w:p>
      <w:pPr>
        <w:keepNext w:val="0"/>
        <w:spacing w:before="0" w:after="60" w:line="307" w:lineRule="auto"/>
        <w:ind w:left="272" w:hanging="193"/>
      </w:pPr>
      <w:r>
        <w:rPr>
          <w:rFonts w:ascii="맑은 고딕" w:hAnsi="맑은 고딕" w:eastAsia="맑은 고딕"/>
          <w:b/>
          <w:color w:val="2F75B5"/>
          <w:sz w:val="20"/>
        </w:rPr>
        <w:t xml:space="preserve">□ </w:t>
      </w:r>
      <w:r>
        <w:rPr>
          <w:rFonts w:ascii="맑은 고딕" w:hAnsi="맑은 고딕" w:eastAsia="맑은 고딕"/>
          <w:b/>
          <w:color w:val="243447"/>
          <w:sz w:val="20"/>
        </w:rPr>
        <w:t>미국 NQI는 FY2025 양자정보과학 R&amp;D 예산으로 9.98억 달러를 요청하고 과학·인력·산업·인프라·안보·국제협력을 정책축으로 지속 투자함 [R1].</w:t>
      </w:r>
    </w:p>
    <w:p>
      <w:pPr>
        <w:keepNext w:val="0"/>
        <w:spacing w:before="0" w:after="60" w:line="307" w:lineRule="auto"/>
        <w:ind w:left="272" w:hanging="193"/>
      </w:pPr>
      <w:r>
        <w:rPr>
          <w:rFonts w:ascii="맑은 고딕" w:hAnsi="맑은 고딕" w:eastAsia="맑은 고딕"/>
          <w:b/>
          <w:color w:val="6B7280"/>
          <w:sz w:val="20"/>
        </w:rPr>
        <w:t xml:space="preserve">· </w:t>
      </w:r>
      <w:r>
        <w:rPr>
          <w:rFonts w:ascii="맑은 고딕" w:hAnsi="맑은 고딕" w:eastAsia="맑은 고딕"/>
          <w:b w:val="0"/>
          <w:color w:val="243447"/>
          <w:sz w:val="20"/>
        </w:rPr>
        <w:t>EU Quantum Europe Strategy는 연구혁신, 양자인프라, 생태계·공급망·산업화, 우주·듀얼유스, 인력의 통합적 강화 방향을 제시함 [R2].</w:t>
      </w:r>
    </w:p>
    <w:p>
      <w:pPr>
        <w:keepNext w:val="0"/>
        <w:spacing w:before="0" w:after="60" w:line="307" w:lineRule="auto"/>
        <w:ind w:left="272" w:hanging="193"/>
      </w:pPr>
      <w:r>
        <w:rPr>
          <w:rFonts w:ascii="맑은 고딕" w:hAnsi="맑은 고딕" w:eastAsia="맑은 고딕"/>
          <w:b/>
          <w:color w:val="6B7280"/>
          <w:sz w:val="20"/>
        </w:rPr>
        <w:t xml:space="preserve">· </w:t>
      </w:r>
      <w:r>
        <w:rPr>
          <w:rFonts w:ascii="맑은 고딕" w:hAnsi="맑은 고딕" w:eastAsia="맑은 고딕"/>
          <w:b w:val="0"/>
          <w:color w:val="243447"/>
          <w:sz w:val="20"/>
        </w:rPr>
        <w:t>2026년 미국 행정명령은 양자컴퓨팅·센싱·네트워킹의 배치·상용화, 성능평가센터, 공급망·제조, 인력, 국제파트너십을 구체적 실행과제로 제시함 [R3].</w:t>
      </w:r>
    </w:p>
    <w:p>
      <w:pPr>
        <w:keepNext w:val="0"/>
        <w:spacing w:before="0" w:after="60" w:line="307" w:lineRule="auto"/>
        <w:ind w:left="272" w:hanging="193"/>
      </w:pPr>
      <w:r>
        <w:rPr>
          <w:rFonts w:ascii="맑은 고딕" w:hAnsi="맑은 고딕" w:eastAsia="맑은 고딕"/>
          <w:b/>
          <w:color w:val="6B7280"/>
          <w:sz w:val="20"/>
        </w:rPr>
        <w:t xml:space="preserve">· </w:t>
      </w:r>
      <w:r>
        <w:rPr>
          <w:rFonts w:ascii="맑은 고딕" w:hAnsi="맑은 고딕" w:eastAsia="맑은 고딕"/>
          <w:b w:val="0"/>
          <w:color w:val="243447"/>
          <w:sz w:val="20"/>
        </w:rPr>
        <w:t>NIST의 FIPS 203·204·205 승인은 양자내성암호가 후보기술에서 실제 전환표준 단계로 진입했음을 의미함 [R4].</w:t>
      </w:r>
    </w:p>
    <w:p>
      <w:pPr>
        <w:keepNext w:val="0"/>
        <w:spacing w:before="0" w:after="60" w:line="307" w:lineRule="auto"/>
        <w:ind w:left="272" w:hanging="193"/>
      </w:pPr>
      <w:r>
        <w:rPr>
          <w:rFonts w:ascii="맑은 고딕" w:hAnsi="맑은 고딕" w:eastAsia="맑은 고딕"/>
          <w:b/>
          <w:color w:val="6B7280"/>
          <w:sz w:val="20"/>
        </w:rPr>
        <w:t xml:space="preserve">· </w:t>
      </w:r>
      <w:r>
        <w:rPr>
          <w:rFonts w:ascii="맑은 고딕" w:hAnsi="맑은 고딕" w:eastAsia="맑은 고딕"/>
          <w:b w:val="0"/>
          <w:color w:val="243447"/>
          <w:sz w:val="20"/>
        </w:rPr>
        <w:t>DARPA QBI는 2033년까지 계산가치가 비용을 초과하는 산업적으로 유용한 양자컴퓨터의 가능성을 독립 검증하는 체계를 운영함 [R5].</w:t>
      </w:r>
    </w:p>
    <w:p>
      <w:pPr>
        <w:keepNext w:val="0"/>
        <w:spacing w:before="0" w:after="60" w:line="307" w:lineRule="auto"/>
        <w:ind w:left="272" w:hanging="193"/>
      </w:pPr>
      <w:r>
        <w:rPr>
          <w:rFonts w:ascii="맑은 고딕" w:hAnsi="맑은 고딕" w:eastAsia="맑은 고딕"/>
          <w:b/>
          <w:color w:val="6B7280"/>
          <w:sz w:val="20"/>
        </w:rPr>
        <w:t xml:space="preserve">· </w:t>
      </w:r>
      <w:r>
        <w:rPr>
          <w:rFonts w:ascii="맑은 고딕" w:hAnsi="맑은 고딕" w:eastAsia="맑은 고딕"/>
          <w:b w:val="0"/>
          <w:color w:val="243447"/>
          <w:sz w:val="20"/>
        </w:rPr>
        <w:t>한국의 제1차 양자종합계획은 2035년 전문인력 1만 명, 양자기업 2천 개, 글로벌 표준 선도 3위권과 5대 양자클러스터 분야를 목표로 제시함 [R6].</w:t>
      </w:r>
    </w:p>
    <w:p>
      <w:pPr>
        <w:keepNext/>
        <w:spacing w:before="60" w:after="120" w:line="240" w:lineRule="auto"/>
        <w:jc w:val="left"/>
      </w:pPr>
      <w:r>
        <w:rPr>
          <w:rFonts w:ascii="맑은 고딕" w:hAnsi="맑은 고딕" w:eastAsia="맑은 고딕"/>
          <w:b/>
          <w:color w:val="17365D"/>
          <w:sz w:val="18"/>
        </w:rPr>
        <w:t>표 1-3. 외부환경 변화와 전략적 의미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9"/>
        <w:gridCol w:w="3459"/>
        <w:gridCol w:w="3459"/>
      </w:tblGrid>
      <w:tr>
        <w:tc>
          <w:tcPr>
            <w:tcW w:type="dxa" w:w="1871"/>
            <w:shd w:fill="17365D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5"/>
              </w:rPr>
              <w:t>외부환경</w:t>
            </w:r>
          </w:p>
        </w:tc>
        <w:tc>
          <w:tcPr>
            <w:tcW w:type="dxa" w:w="3969"/>
            <w:shd w:fill="17365D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5"/>
              </w:rPr>
              <w:t>주요 변화</w:t>
            </w:r>
          </w:p>
        </w:tc>
        <w:tc>
          <w:tcPr>
            <w:tcW w:type="dxa" w:w="4819"/>
            <w:shd w:fill="17365D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5"/>
              </w:rPr>
              <w:t>전략적 의미</w:t>
            </w:r>
          </w:p>
        </w:tc>
      </w:tr>
      <w:tr>
        <w:tc>
          <w:tcPr>
            <w:tcW w:type="dxa" w:w="1871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5"/>
              </w:rPr>
              <w:t>공공투자</w:t>
            </w:r>
          </w:p>
        </w:tc>
        <w:tc>
          <w:tcPr>
            <w:tcW w:type="dxa" w:w="3969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미국·EU·영국·한국의 장기전략·인프라·인력 투자</w:t>
            </w:r>
          </w:p>
        </w:tc>
        <w:tc>
          <w:tcPr>
            <w:tcW w:type="dxa" w:w="4819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단기 성과만으로 원천·공통기반 투자를 축소하기 어려움</w:t>
            </w:r>
          </w:p>
        </w:tc>
      </w:tr>
      <w:tr>
        <w:tc>
          <w:tcPr>
            <w:tcW w:type="dxa" w:w="1871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5"/>
              </w:rPr>
              <w:t>상용화</w:t>
            </w:r>
          </w:p>
        </w:tc>
        <w:tc>
          <w:tcPr>
            <w:tcW w:type="dxa" w:w="3969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정부 배치·기업 채택·사용사례 발굴 강화</w:t>
            </w:r>
          </w:p>
        </w:tc>
        <w:tc>
          <w:tcPr>
            <w:tcW w:type="dxa" w:w="4819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산업문제와 기존 HPC·AI 워크플로 연계가 중요함</w:t>
            </w:r>
          </w:p>
        </w:tc>
      </w:tr>
      <w:tr>
        <w:tc>
          <w:tcPr>
            <w:tcW w:type="dxa" w:w="1871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5"/>
              </w:rPr>
              <w:t>검증</w:t>
            </w:r>
          </w:p>
        </w:tc>
        <w:tc>
          <w:tcPr>
            <w:tcW w:type="dxa" w:w="3969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DARPA QBI·성능평가센터·기업 로드맵 구체화</w:t>
            </w:r>
          </w:p>
        </w:tc>
        <w:tc>
          <w:tcPr>
            <w:tcW w:type="dxa" w:w="4819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논문 수보다 유용성·비용·재현성·성능검증을 중시함</w:t>
            </w:r>
          </w:p>
        </w:tc>
      </w:tr>
      <w:tr>
        <w:tc>
          <w:tcPr>
            <w:tcW w:type="dxa" w:w="1871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5"/>
              </w:rPr>
              <w:t>표준화</w:t>
            </w:r>
          </w:p>
        </w:tc>
        <w:tc>
          <w:tcPr>
            <w:tcW w:type="dxa" w:w="3969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NIST PQC·ITU 양자네트워크 표준화 진전</w:t>
            </w:r>
          </w:p>
        </w:tc>
        <w:tc>
          <w:tcPr>
            <w:tcW w:type="dxa" w:w="4819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통신·보안 분야는 조기표준 참여와 전환계획이 경쟁력임</w:t>
            </w:r>
          </w:p>
        </w:tc>
      </w:tr>
      <w:tr>
        <w:tc>
          <w:tcPr>
            <w:tcW w:type="dxa" w:w="1871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5"/>
              </w:rPr>
              <w:t>공급망</w:t>
            </w:r>
          </w:p>
        </w:tc>
        <w:tc>
          <w:tcPr>
            <w:tcW w:type="dxa" w:w="3969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소자·광자·극저온·제어·파운드리 강조</w:t>
            </w:r>
          </w:p>
        </w:tc>
        <w:tc>
          <w:tcPr>
            <w:tcW w:type="dxa" w:w="4819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핵심부품과 공동인프라가 기술주권과 사업화 속도를 좌우함</w:t>
            </w:r>
          </w:p>
        </w:tc>
      </w:tr>
      <w:tr>
        <w:tc>
          <w:tcPr>
            <w:tcW w:type="dxa" w:w="1871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5"/>
              </w:rPr>
              <w:t>인력·생태계</w:t>
            </w:r>
          </w:p>
        </w:tc>
        <w:tc>
          <w:tcPr>
            <w:tcW w:type="dxa" w:w="3969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융합인력·기업·클러스터 목표 확대</w:t>
            </w:r>
          </w:p>
        </w:tc>
        <w:tc>
          <w:tcPr>
            <w:tcW w:type="dxa" w:w="4819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물리·공학·SW·산업인력의 순환구조가 필요함</w:t>
            </w:r>
          </w:p>
        </w:tc>
      </w:tr>
    </w:tbl>
    <w:p>
      <w:pPr>
        <w:spacing w:after="0"/>
      </w:pPr>
    </w:p>
    <w:p>
      <w:pPr>
        <w:keepNext/>
        <w:spacing w:before="240" w:after="120" w:line="240" w:lineRule="auto"/>
        <w:pBdr>
          <w:bottom w:val="single" w:sz="12" w:space="3" w:color="2F75B5"/>
        </w:pBdr>
      </w:pPr>
      <w:r>
        <w:rPr>
          <w:rFonts w:ascii="맑은 고딕" w:hAnsi="맑은 고딕" w:eastAsia="맑은 고딕"/>
          <w:b/>
          <w:color w:val="17365D"/>
          <w:sz w:val="30"/>
        </w:rPr>
        <w:t>1.7 기술 포트폴리오와 투자 우선순위</w:t>
      </w:r>
    </w:p>
    <w:p>
      <w:r>
        <w:drawing>
          <wp:inline xmlns:a="http://schemas.openxmlformats.org/drawingml/2006/main" xmlns:pic="http://schemas.openxmlformats.org/drawingml/2006/picture">
            <wp:extent cx="6300000" cy="389007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es_3_portfoli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00000" cy="38900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60" w:after="120" w:line="240" w:lineRule="auto"/>
        <w:jc w:val="center"/>
      </w:pPr>
      <w:r>
        <w:rPr>
          <w:rFonts w:ascii="맑은 고딕" w:hAnsi="맑은 고딕" w:eastAsia="맑은 고딕"/>
          <w:b/>
          <w:color w:val="6B7280"/>
          <w:sz w:val="18"/>
        </w:rPr>
        <w:t>그림 1-4. 6대 기술축 전략 포트폴리오</w:t>
      </w:r>
    </w:p>
    <w:p>
      <w:pPr>
        <w:keepNext w:val="0"/>
        <w:spacing w:before="0" w:after="60" w:line="307" w:lineRule="auto"/>
        <w:ind w:left="272" w:hanging="193"/>
      </w:pPr>
      <w:r>
        <w:rPr>
          <w:rFonts w:ascii="맑은 고딕" w:hAnsi="맑은 고딕" w:eastAsia="맑은 고딕"/>
          <w:b/>
          <w:color w:val="2F75B5"/>
          <w:sz w:val="20"/>
        </w:rPr>
        <w:t xml:space="preserve">□ </w:t>
      </w:r>
      <w:r>
        <w:rPr>
          <w:rFonts w:ascii="맑은 고딕" w:hAnsi="맑은 고딕" w:eastAsia="맑은 고딕"/>
          <w:b/>
          <w:color w:val="243447"/>
          <w:sz w:val="20"/>
        </w:rPr>
        <w:t>양자컴퓨팅·SW/AI는 연구기반과 정책·기업 로드맵이 가장 구체적이므로 오류정정·컴파일러·하이브리드·산업문제 실증을 묶어 최우선 추진함.</w:t>
      </w:r>
    </w:p>
    <w:p>
      <w:pPr>
        <w:keepNext w:val="0"/>
        <w:spacing w:before="0" w:after="60" w:line="307" w:lineRule="auto"/>
        <w:ind w:left="272" w:hanging="193"/>
      </w:pPr>
      <w:r>
        <w:rPr>
          <w:rFonts w:ascii="맑은 고딕" w:hAnsi="맑은 고딕" w:eastAsia="맑은 고딕"/>
          <w:b/>
          <w:color w:val="6B7280"/>
          <w:sz w:val="20"/>
        </w:rPr>
        <w:t xml:space="preserve">· </w:t>
      </w:r>
      <w:r>
        <w:rPr>
          <w:rFonts w:ascii="맑은 고딕" w:hAnsi="맑은 고딕" w:eastAsia="맑은 고딕"/>
          <w:b w:val="0"/>
          <w:color w:val="243447"/>
          <w:sz w:val="20"/>
        </w:rPr>
        <w:t>양자통신·보안은 PQC 전환과 QKD·양자네트워크가 서로 다른 시간축을 가지므로 즉시 전환형 보안과 중장기 네트워크 실증을 병렬 추진함.</w:t>
      </w:r>
    </w:p>
    <w:p>
      <w:pPr>
        <w:keepNext w:val="0"/>
        <w:spacing w:before="0" w:after="60" w:line="307" w:lineRule="auto"/>
        <w:ind w:left="272" w:hanging="193"/>
      </w:pPr>
      <w:r>
        <w:rPr>
          <w:rFonts w:ascii="맑은 고딕" w:hAnsi="맑은 고딕" w:eastAsia="맑은 고딕"/>
          <w:b/>
          <w:color w:val="6B7280"/>
          <w:sz w:val="20"/>
        </w:rPr>
        <w:t xml:space="preserve">· </w:t>
      </w:r>
      <w:r>
        <w:rPr>
          <w:rFonts w:ascii="맑은 고딕" w:hAnsi="맑은 고딕" w:eastAsia="맑은 고딕"/>
          <w:b w:val="0"/>
          <w:color w:val="243447"/>
          <w:sz w:val="20"/>
        </w:rPr>
        <w:t>양자센싱·계측은 의료·항법·반도체·국방 등 조기 사용사례가 존재하므로 현장성능·시험인증·공공조달을 중심으로 상용화를 가속함.</w:t>
      </w:r>
    </w:p>
    <w:p>
      <w:pPr>
        <w:keepNext w:val="0"/>
        <w:spacing w:before="0" w:after="60" w:line="307" w:lineRule="auto"/>
        <w:ind w:left="272" w:hanging="193"/>
      </w:pPr>
      <w:r>
        <w:rPr>
          <w:rFonts w:ascii="맑은 고딕" w:hAnsi="맑은 고딕" w:eastAsia="맑은 고딕"/>
          <w:b/>
          <w:color w:val="6B7280"/>
          <w:sz w:val="20"/>
        </w:rPr>
        <w:t xml:space="preserve">· </w:t>
      </w:r>
      <w:r>
        <w:rPr>
          <w:rFonts w:ascii="맑은 고딕" w:hAnsi="맑은 고딕" w:eastAsia="맑은 고딕"/>
          <w:b w:val="0"/>
          <w:color w:val="243447"/>
          <w:sz w:val="20"/>
        </w:rPr>
        <w:t>양자소자·소재는 모든 기술축의 성능·자립성을 좌우하는 핵심 기반으로 공동파운드리·극저온·광자·제어·패키징 공급망을 구축함.</w:t>
      </w:r>
    </w:p>
    <w:p>
      <w:pPr>
        <w:keepNext w:val="0"/>
        <w:spacing w:before="0" w:after="60" w:line="307" w:lineRule="auto"/>
        <w:ind w:left="272" w:hanging="193"/>
      </w:pPr>
      <w:r>
        <w:rPr>
          <w:rFonts w:ascii="맑은 고딕" w:hAnsi="맑은 고딕" w:eastAsia="맑은 고딕"/>
          <w:b/>
          <w:color w:val="6B7280"/>
          <w:sz w:val="20"/>
        </w:rPr>
        <w:t xml:space="preserve">· </w:t>
      </w:r>
      <w:r>
        <w:rPr>
          <w:rFonts w:ascii="맑은 고딕" w:hAnsi="맑은 고딕" w:eastAsia="맑은 고딕"/>
          <w:b w:val="0"/>
          <w:color w:val="243447"/>
          <w:sz w:val="20"/>
        </w:rPr>
        <w:t>양자이론·시뮬레이션과 양자화학·산업응용은 장기 원천성과와 고가치 산업문제 발굴을 병행하되 단계적 PoC와 명확한 중간지표를 적용함.</w:t>
      </w:r>
    </w:p>
    <w:p>
      <w:pPr>
        <w:keepNext/>
        <w:spacing w:before="60" w:after="120" w:line="240" w:lineRule="auto"/>
        <w:jc w:val="left"/>
      </w:pPr>
      <w:r>
        <w:rPr>
          <w:rFonts w:ascii="맑은 고딕" w:hAnsi="맑은 고딕" w:eastAsia="맑은 고딕"/>
          <w:b/>
          <w:color w:val="17365D"/>
          <w:sz w:val="18"/>
        </w:rPr>
        <w:t>표 1-4. 기술축별 우선순위와 실행방향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4"/>
        <w:gridCol w:w="2594"/>
        <w:gridCol w:w="2594"/>
        <w:gridCol w:w="2594"/>
      </w:tblGrid>
      <w:tr>
        <w:tc>
          <w:tcPr>
            <w:tcW w:type="dxa" w:w="1361"/>
            <w:shd w:fill="17365D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5"/>
              </w:rPr>
              <w:t>우선군</w:t>
            </w:r>
          </w:p>
        </w:tc>
        <w:tc>
          <w:tcPr>
            <w:tcW w:type="dxa" w:w="2438"/>
            <w:shd w:fill="17365D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5"/>
              </w:rPr>
              <w:t>기술축</w:t>
            </w:r>
          </w:p>
        </w:tc>
        <w:tc>
          <w:tcPr>
            <w:tcW w:type="dxa" w:w="4649"/>
            <w:shd w:fill="17365D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5"/>
              </w:rPr>
              <w:t>핵심 실행방향</w:t>
            </w:r>
          </w:p>
        </w:tc>
        <w:tc>
          <w:tcPr>
            <w:tcW w:type="dxa" w:w="3118"/>
            <w:shd w:fill="17365D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5"/>
              </w:rPr>
              <w:t>주요 KPI</w:t>
            </w:r>
          </w:p>
        </w:tc>
      </w:tr>
      <w:tr>
        <w:tc>
          <w:tcPr>
            <w:tcW w:type="dxa" w:w="1361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5"/>
              </w:rPr>
              <w:t>1순위</w:t>
            </w:r>
          </w:p>
        </w:tc>
        <w:tc>
          <w:tcPr>
            <w:tcW w:type="dxa" w:w="2438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양자컴퓨팅·SW/AI</w:t>
            </w:r>
          </w:p>
        </w:tc>
        <w:tc>
          <w:tcPr>
            <w:tcW w:type="dxa" w:w="4649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오류정정·디코더·컴파일러·벤치마크·HPC/AI 연계를 통합함</w:t>
            </w:r>
          </w:p>
        </w:tc>
        <w:tc>
          <w:tcPr>
            <w:tcW w:type="dxa" w:w="3118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논리오류율·회로성능·재현성·산업 PoC</w:t>
            </w:r>
          </w:p>
        </w:tc>
      </w:tr>
      <w:tr>
        <w:tc>
          <w:tcPr>
            <w:tcW w:type="dxa" w:w="1361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5"/>
              </w:rPr>
              <w:t>1순위</w:t>
            </w:r>
          </w:p>
        </w:tc>
        <w:tc>
          <w:tcPr>
            <w:tcW w:type="dxa" w:w="2438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양자통신·보안</w:t>
            </w:r>
          </w:p>
        </w:tc>
        <w:tc>
          <w:tcPr>
            <w:tcW w:type="dxa" w:w="4649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PQC 전환·QKD·양자망 표준·상호운용 실증을 병렬 추진함</w:t>
            </w:r>
          </w:p>
        </w:tc>
        <w:tc>
          <w:tcPr>
            <w:tcW w:type="dxa" w:w="3118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전환율·표준기고·실증망·상호운용</w:t>
            </w:r>
          </w:p>
        </w:tc>
      </w:tr>
      <w:tr>
        <w:tc>
          <w:tcPr>
            <w:tcW w:type="dxa" w:w="1361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5"/>
              </w:rPr>
              <w:t>1순위</w:t>
            </w:r>
          </w:p>
        </w:tc>
        <w:tc>
          <w:tcPr>
            <w:tcW w:type="dxa" w:w="2438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양자센싱·계측</w:t>
            </w:r>
          </w:p>
        </w:tc>
        <w:tc>
          <w:tcPr>
            <w:tcW w:type="dxa" w:w="4649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의료·항법·반도체·국방 사용사례와 시험인증을 연계함</w:t>
            </w:r>
          </w:p>
        </w:tc>
        <w:tc>
          <w:tcPr>
            <w:tcW w:type="dxa" w:w="3118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감도·정확도·안정성·현장실증</w:t>
            </w:r>
          </w:p>
        </w:tc>
      </w:tr>
      <w:tr>
        <w:tc>
          <w:tcPr>
            <w:tcW w:type="dxa" w:w="1361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5"/>
              </w:rPr>
              <w:t>2순위</w:t>
            </w:r>
          </w:p>
        </w:tc>
        <w:tc>
          <w:tcPr>
            <w:tcW w:type="dxa" w:w="2438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양자소자·소재</w:t>
            </w:r>
          </w:p>
        </w:tc>
        <w:tc>
          <w:tcPr>
            <w:tcW w:type="dxa" w:w="4649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큐비트·광자·극저온·제어·패키징 공동인프라를 확보함</w:t>
            </w:r>
          </w:p>
        </w:tc>
        <w:tc>
          <w:tcPr>
            <w:tcW w:type="dxa" w:w="3118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수율·결함·국산화·시설활용률</w:t>
            </w:r>
          </w:p>
        </w:tc>
      </w:tr>
      <w:tr>
        <w:tc>
          <w:tcPr>
            <w:tcW w:type="dxa" w:w="1361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5"/>
              </w:rPr>
              <w:t>장기기반</w:t>
            </w:r>
          </w:p>
        </w:tc>
        <w:tc>
          <w:tcPr>
            <w:tcW w:type="dxa" w:w="2438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양자이론·시뮬레이션</w:t>
            </w:r>
          </w:p>
        </w:tc>
        <w:tc>
          <w:tcPr>
            <w:tcW w:type="dxa" w:w="4649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개방형 검증문제·고영향 기초연구·후속 응용을 유지함</w:t>
            </w:r>
          </w:p>
        </w:tc>
        <w:tc>
          <w:tcPr>
            <w:tcW w:type="dxa" w:w="3118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고영향 논문·오픈코드·응용전환</w:t>
            </w:r>
          </w:p>
        </w:tc>
      </w:tr>
      <w:tr>
        <w:tc>
          <w:tcPr>
            <w:tcW w:type="dxa" w:w="1361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5"/>
              </w:rPr>
              <w:t>응용발굴</w:t>
            </w:r>
          </w:p>
        </w:tc>
        <w:tc>
          <w:tcPr>
            <w:tcW w:type="dxa" w:w="2438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양자화학·산업응용</w:t>
            </w:r>
          </w:p>
        </w:tc>
        <w:tc>
          <w:tcPr>
            <w:tcW w:type="dxa" w:w="4649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제약·소재·에너지의 고가치 문제를 선별해 단계적 PoC를 수행함</w:t>
            </w:r>
          </w:p>
        </w:tc>
        <w:tc>
          <w:tcPr>
            <w:tcW w:type="dxa" w:w="3118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예측개선·문제축소·ROI·특허</w:t>
            </w:r>
          </w:p>
        </w:tc>
      </w:tr>
    </w:tbl>
    <w:p>
      <w:pPr>
        <w:spacing w:after="0"/>
      </w:pPr>
    </w:p>
    <w:p>
      <w:pPr>
        <w:keepNext/>
        <w:spacing w:before="240" w:after="120" w:line="240" w:lineRule="auto"/>
        <w:pBdr>
          <w:bottom w:val="single" w:sz="12" w:space="3" w:color="2F75B5"/>
        </w:pBdr>
      </w:pPr>
      <w:r>
        <w:rPr>
          <w:rFonts w:ascii="맑은 고딕" w:hAnsi="맑은 고딕" w:eastAsia="맑은 고딕"/>
          <w:b/>
          <w:color w:val="17365D"/>
          <w:sz w:val="30"/>
        </w:rPr>
        <w:t>1.8 한국형 6대 전략축</w:t>
      </w:r>
    </w:p>
    <w:p>
      <w:r>
        <w:drawing>
          <wp:inline xmlns:a="http://schemas.openxmlformats.org/drawingml/2006/main" xmlns:pic="http://schemas.openxmlformats.org/drawingml/2006/picture">
            <wp:extent cx="6372000" cy="329761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es_5_strategy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72000" cy="32976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60" w:after="120" w:line="240" w:lineRule="auto"/>
        <w:jc w:val="center"/>
      </w:pPr>
      <w:r>
        <w:rPr>
          <w:rFonts w:ascii="맑은 고딕" w:hAnsi="맑은 고딕" w:eastAsia="맑은 고딕"/>
          <w:b/>
          <w:color w:val="6B7280"/>
          <w:sz w:val="18"/>
        </w:rPr>
        <w:t>그림 1-5. 한국형 양자전략 6대 실행축</w:t>
      </w:r>
    </w:p>
    <w:p>
      <w:pPr>
        <w:keepNext/>
        <w:spacing w:before="60" w:after="120" w:line="240" w:lineRule="auto"/>
        <w:jc w:val="left"/>
      </w:pPr>
      <w:r>
        <w:rPr>
          <w:rFonts w:ascii="맑은 고딕" w:hAnsi="맑은 고딕" w:eastAsia="맑은 고딕"/>
          <w:b/>
          <w:color w:val="17365D"/>
          <w:sz w:val="18"/>
        </w:rPr>
        <w:t>표 1-5. 전략축별 핵심 과제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9"/>
        <w:gridCol w:w="3459"/>
        <w:gridCol w:w="3459"/>
      </w:tblGrid>
      <w:tr>
        <w:tc>
          <w:tcPr>
            <w:tcW w:type="dxa" w:w="1928"/>
            <w:shd w:fill="17365D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5"/>
              </w:rPr>
              <w:t>전략축</w:t>
            </w:r>
          </w:p>
        </w:tc>
        <w:tc>
          <w:tcPr>
            <w:tcW w:type="dxa" w:w="5102"/>
            <w:shd w:fill="17365D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5"/>
              </w:rPr>
              <w:t>핵심 과제</w:t>
            </w:r>
          </w:p>
        </w:tc>
        <w:tc>
          <w:tcPr>
            <w:tcW w:type="dxa" w:w="4535"/>
            <w:shd w:fill="17365D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5"/>
              </w:rPr>
              <w:t>의사결정 기준</w:t>
            </w:r>
          </w:p>
        </w:tc>
      </w:tr>
      <w:tr>
        <w:tc>
          <w:tcPr>
            <w:tcW w:type="dxa" w:w="1928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5"/>
              </w:rPr>
              <w:t>기술 포트폴리오</w:t>
            </w:r>
          </w:p>
        </w:tc>
        <w:tc>
          <w:tcPr>
            <w:tcW w:type="dxa" w:w="5102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6대 기술축·세부기술 정의서·검색식·전문가 검증을 구축함</w:t>
            </w:r>
          </w:p>
        </w:tc>
        <w:tc>
          <w:tcPr>
            <w:tcW w:type="dxa" w:w="4535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연구기반·성장·시장·협업·리스크를 통합평가함</w:t>
            </w:r>
          </w:p>
        </w:tc>
      </w:tr>
      <w:tr>
        <w:tc>
          <w:tcPr>
            <w:tcW w:type="dxa" w:w="1928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5"/>
              </w:rPr>
              <w:t>공동 인프라</w:t>
            </w:r>
          </w:p>
        </w:tc>
        <w:tc>
          <w:tcPr>
            <w:tcW w:type="dxa" w:w="5102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극저온·광원·파운드리·제어·통신 테스트베드·시험평가를 공동 구축함</w:t>
            </w:r>
          </w:p>
        </w:tc>
        <w:tc>
          <w:tcPr>
            <w:tcW w:type="dxa" w:w="4535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시설 중복·활용률·접근성·공급망 기여도를 평가함</w:t>
            </w:r>
          </w:p>
        </w:tc>
      </w:tr>
      <w:tr>
        <w:tc>
          <w:tcPr>
            <w:tcW w:type="dxa" w:w="1928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5"/>
              </w:rPr>
              <w:t>국제 허브</w:t>
            </w:r>
          </w:p>
        </w:tc>
        <w:tc>
          <w:tcPr>
            <w:tcW w:type="dxa" w:w="5102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미국·독일·영국·일본의 허브기관과 브리지 연구자를 기술군별로 연결함</w:t>
            </w:r>
          </w:p>
        </w:tc>
        <w:tc>
          <w:tcPr>
            <w:tcW w:type="dxa" w:w="4535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공동 제1저자·시설공유·표준·특허·지속성을 평가함</w:t>
            </w:r>
          </w:p>
        </w:tc>
      </w:tr>
      <w:tr>
        <w:tc>
          <w:tcPr>
            <w:tcW w:type="dxa" w:w="1928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5"/>
              </w:rPr>
              <w:t>표준·시장 전환</w:t>
            </w:r>
          </w:p>
        </w:tc>
        <w:tc>
          <w:tcPr>
            <w:tcW w:type="dxa" w:w="5102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PQC·양자망·센싱 시험인증과 산업 PoC·조달을 연계함</w:t>
            </w:r>
          </w:p>
        </w:tc>
        <w:tc>
          <w:tcPr>
            <w:tcW w:type="dxa" w:w="4535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상호운용·경제성·규제·보안·전환비용을 검증함</w:t>
            </w:r>
          </w:p>
        </w:tc>
      </w:tr>
      <w:tr>
        <w:tc>
          <w:tcPr>
            <w:tcW w:type="dxa" w:w="1928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5"/>
              </w:rPr>
              <w:t>데이터 거버넌스</w:t>
            </w:r>
          </w:p>
        </w:tc>
        <w:tc>
          <w:tcPr>
            <w:tcW w:type="dxa" w:w="5102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논문–특허–과제–표준–시장–기업 데이터를 통합함</w:t>
            </w:r>
          </w:p>
        </w:tc>
        <w:tc>
          <w:tcPr>
            <w:tcW w:type="dxa" w:w="4535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데이터 커버리지·정확도·재현성·업데이트 주기를 관리함</w:t>
            </w:r>
          </w:p>
        </w:tc>
      </w:tr>
      <w:tr>
        <w:tc>
          <w:tcPr>
            <w:tcW w:type="dxa" w:w="1928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5"/>
              </w:rPr>
              <w:t>인력·조직</w:t>
            </w:r>
          </w:p>
        </w:tc>
        <w:tc>
          <w:tcPr>
            <w:tcW w:type="dxa" w:w="5102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공동박사·포닥·산업파견·융합교육·전담 PMO를 운영함</w:t>
            </w:r>
          </w:p>
        </w:tc>
        <w:tc>
          <w:tcPr>
            <w:tcW w:type="dxa" w:w="4535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반복 참여·산학 이동·핵심직무·기업 흡수율을 측정함</w:t>
            </w:r>
          </w:p>
        </w:tc>
      </w:tr>
    </w:tbl>
    <w:p>
      <w:pPr>
        <w:spacing w:after="0"/>
      </w:pPr>
    </w:p>
    <w:p>
      <w:pPr>
        <w:keepNext/>
        <w:spacing w:before="240" w:after="120" w:line="240" w:lineRule="auto"/>
        <w:pBdr>
          <w:bottom w:val="single" w:sz="12" w:space="3" w:color="2F75B5"/>
        </w:pBdr>
      </w:pPr>
      <w:r>
        <w:rPr>
          <w:rFonts w:ascii="맑은 고딕" w:hAnsi="맑은 고딕" w:eastAsia="맑은 고딕"/>
          <w:b/>
          <w:color w:val="17365D"/>
          <w:sz w:val="30"/>
        </w:rPr>
        <w:t>1.9 36개월 실행 로드맵</w:t>
      </w:r>
    </w:p>
    <w:p>
      <w:r>
        <w:drawing>
          <wp:inline xmlns:a="http://schemas.openxmlformats.org/drawingml/2006/main" xmlns:pic="http://schemas.openxmlformats.org/drawingml/2006/picture">
            <wp:extent cx="6516000" cy="317242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es_6_roadmap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516000" cy="31724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before="60" w:after="120" w:line="240" w:lineRule="auto"/>
        <w:jc w:val="center"/>
      </w:pPr>
      <w:r>
        <w:rPr>
          <w:rFonts w:ascii="맑은 고딕" w:hAnsi="맑은 고딕" w:eastAsia="맑은 고딕"/>
          <w:b/>
          <w:color w:val="6B7280"/>
          <w:sz w:val="18"/>
        </w:rPr>
        <w:t>그림 1-6. 36개월 통합 실행 로드맵</w:t>
      </w:r>
    </w:p>
    <w:p>
      <w:pPr>
        <w:keepNext w:val="0"/>
        <w:spacing w:before="0" w:after="60" w:line="307" w:lineRule="auto"/>
        <w:ind w:left="272" w:hanging="193"/>
      </w:pPr>
      <w:r>
        <w:rPr>
          <w:rFonts w:ascii="맑은 고딕" w:hAnsi="맑은 고딕" w:eastAsia="맑은 고딕"/>
          <w:b/>
          <w:color w:val="2F75B5"/>
          <w:sz w:val="20"/>
        </w:rPr>
        <w:t xml:space="preserve">□ </w:t>
      </w:r>
      <w:r>
        <w:rPr>
          <w:rFonts w:ascii="맑은 고딕" w:hAnsi="맑은 고딕" w:eastAsia="맑은 고딕"/>
          <w:b/>
          <w:color w:val="243447"/>
          <w:sz w:val="20"/>
        </w:rPr>
        <w:t>0~6개월은 데이터·기관·기술분류를 정비하고 6대 기술축, 핵심주체, 허브기관, 기준선 KPI를 확정함.</w:t>
      </w:r>
    </w:p>
    <w:p>
      <w:pPr>
        <w:keepNext w:val="0"/>
        <w:spacing w:before="0" w:after="60" w:line="307" w:lineRule="auto"/>
        <w:ind w:left="272" w:hanging="193"/>
      </w:pPr>
      <w:r>
        <w:rPr>
          <w:rFonts w:ascii="맑은 고딕" w:hAnsi="맑은 고딕" w:eastAsia="맑은 고딕"/>
          <w:b/>
          <w:color w:val="6B7280"/>
          <w:sz w:val="20"/>
        </w:rPr>
        <w:t xml:space="preserve">· </w:t>
      </w:r>
      <w:r>
        <w:rPr>
          <w:rFonts w:ascii="맑은 고딕" w:hAnsi="맑은 고딕" w:eastAsia="맑은 고딕"/>
          <w:b w:val="0"/>
          <w:color w:val="243447"/>
          <w:sz w:val="20"/>
        </w:rPr>
        <w:t>6~18개월은 논문–특허–표준–시장 연계, 공동 인프라, 독립 벤치마크, 국제 공동과제, 산업 PoC를 수행함.</w:t>
      </w:r>
    </w:p>
    <w:p>
      <w:pPr>
        <w:keepNext w:val="0"/>
        <w:spacing w:before="0" w:after="60" w:line="307" w:lineRule="auto"/>
        <w:ind w:left="272" w:hanging="193"/>
      </w:pPr>
      <w:r>
        <w:rPr>
          <w:rFonts w:ascii="맑은 고딕" w:hAnsi="맑은 고딕" w:eastAsia="맑은 고딕"/>
          <w:b/>
          <w:color w:val="6B7280"/>
          <w:sz w:val="20"/>
        </w:rPr>
        <w:t xml:space="preserve">· </w:t>
      </w:r>
      <w:r>
        <w:rPr>
          <w:rFonts w:ascii="맑은 고딕" w:hAnsi="맑은 고딕" w:eastAsia="맑은 고딕"/>
          <w:b w:val="0"/>
          <w:color w:val="243447"/>
          <w:sz w:val="20"/>
        </w:rPr>
        <w:t>18~36개월은 검증결과를 기반으로 제품·조달·공동표준·공급망·클러스터를 확대하고 성과가 낮은 영역은 전환·중단함.</w:t>
      </w:r>
    </w:p>
    <w:p>
      <w:pPr>
        <w:keepNext w:val="0"/>
        <w:spacing w:before="0" w:after="60" w:line="307" w:lineRule="auto"/>
        <w:ind w:left="272" w:hanging="193"/>
      </w:pPr>
      <w:r>
        <w:rPr>
          <w:rFonts w:ascii="맑은 고딕" w:hAnsi="맑은 고딕" w:eastAsia="맑은 고딕"/>
          <w:b/>
          <w:color w:val="6B7280"/>
          <w:sz w:val="20"/>
        </w:rPr>
        <w:t xml:space="preserve">· </w:t>
      </w:r>
      <w:r>
        <w:rPr>
          <w:rFonts w:ascii="맑은 고딕" w:hAnsi="맑은 고딕" w:eastAsia="맑은 고딕"/>
          <w:b w:val="0"/>
          <w:color w:val="243447"/>
          <w:sz w:val="20"/>
        </w:rPr>
        <w:t>각 단계 종료 시 기술성·시장성·협업성·데이터 신뢰도를 재평가하여 포트폴리오를 동적으로 재배분함.</w:t>
      </w:r>
    </w:p>
    <w:p>
      <w:pPr>
        <w:keepNext/>
        <w:spacing w:before="60" w:after="120" w:line="240" w:lineRule="auto"/>
        <w:jc w:val="left"/>
      </w:pPr>
      <w:r>
        <w:rPr>
          <w:rFonts w:ascii="맑은 고딕" w:hAnsi="맑은 고딕" w:eastAsia="맑은 고딕"/>
          <w:b/>
          <w:color w:val="17365D"/>
          <w:sz w:val="18"/>
        </w:rPr>
        <w:t>표 1-6. 단계별 핵심 산출물과 의사결정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9"/>
        <w:gridCol w:w="3459"/>
        <w:gridCol w:w="3459"/>
      </w:tblGrid>
      <w:tr>
        <w:tc>
          <w:tcPr>
            <w:tcW w:type="dxa" w:w="1814"/>
            <w:shd w:fill="17365D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5"/>
              </w:rPr>
              <w:t>단계</w:t>
            </w:r>
          </w:p>
        </w:tc>
        <w:tc>
          <w:tcPr>
            <w:tcW w:type="dxa" w:w="5216"/>
            <w:shd w:fill="17365D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5"/>
              </w:rPr>
              <w:t>핵심 산출물</w:t>
            </w:r>
          </w:p>
        </w:tc>
        <w:tc>
          <w:tcPr>
            <w:tcW w:type="dxa" w:w="4535"/>
            <w:shd w:fill="17365D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5"/>
              </w:rPr>
              <w:t>주요 의사결정</w:t>
            </w:r>
          </w:p>
        </w:tc>
      </w:tr>
      <w:tr>
        <w:tc>
          <w:tcPr>
            <w:tcW w:type="dxa" w:w="1814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5"/>
              </w:rPr>
              <w:t>0~6개월</w:t>
            </w:r>
          </w:p>
        </w:tc>
        <w:tc>
          <w:tcPr>
            <w:tcW w:type="dxa" w:w="5216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통합 DB, 6대 기술축 정의서, 핵심인력·기관·국가맵, KPI 기준선</w:t>
            </w:r>
          </w:p>
        </w:tc>
        <w:tc>
          <w:tcPr>
            <w:tcW w:type="dxa" w:w="4535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기술후보의 포함·제외와 우선순위를 확정함</w:t>
            </w:r>
          </w:p>
        </w:tc>
      </w:tr>
      <w:tr>
        <w:tc>
          <w:tcPr>
            <w:tcW w:type="dxa" w:w="1814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5"/>
              </w:rPr>
              <w:t>6~18개월</w:t>
            </w:r>
          </w:p>
        </w:tc>
        <w:tc>
          <w:tcPr>
            <w:tcW w:type="dxa" w:w="5216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벤치마크, 공동시설 운영안, 국제협력·표준화 계획, 산업 PoC</w:t>
            </w:r>
          </w:p>
        </w:tc>
        <w:tc>
          <w:tcPr>
            <w:tcW w:type="dxa" w:w="4535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성능·경제성·파트너 적합성과 계속투자 여부를 검증함</w:t>
            </w:r>
          </w:p>
        </w:tc>
      </w:tr>
      <w:tr>
        <w:tc>
          <w:tcPr>
            <w:tcW w:type="dxa" w:w="1814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5"/>
              </w:rPr>
              <w:t>18~36개월</w:t>
            </w:r>
          </w:p>
        </w:tc>
        <w:tc>
          <w:tcPr>
            <w:tcW w:type="dxa" w:w="5216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제품·조달·표준·특허·공급망·클러스터, 투자 재배분안</w:t>
            </w:r>
          </w:p>
        </w:tc>
        <w:tc>
          <w:tcPr>
            <w:tcW w:type="dxa" w:w="4535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상용화 확대·플랫폼 전환·과제 중단을 결정함</w:t>
            </w:r>
          </w:p>
        </w:tc>
      </w:tr>
    </w:tbl>
    <w:p>
      <w:pPr>
        <w:spacing w:after="0"/>
      </w:pPr>
    </w:p>
    <w:p>
      <w:pPr>
        <w:keepNext/>
        <w:spacing w:before="240" w:after="120" w:line="240" w:lineRule="auto"/>
        <w:pBdr>
          <w:bottom w:val="single" w:sz="12" w:space="3" w:color="2F75B5"/>
        </w:pBdr>
      </w:pPr>
      <w:r>
        <w:rPr>
          <w:rFonts w:ascii="맑은 고딕" w:hAnsi="맑은 고딕" w:eastAsia="맑은 고딕"/>
          <w:b/>
          <w:color w:val="17365D"/>
          <w:sz w:val="30"/>
        </w:rPr>
        <w:t>1.10 성과관리 KPI와 주요 리스크</w:t>
      </w:r>
    </w:p>
    <w:p>
      <w:pPr>
        <w:keepNext/>
        <w:spacing w:before="60" w:after="120" w:line="240" w:lineRule="auto"/>
        <w:jc w:val="left"/>
      </w:pPr>
      <w:r>
        <w:rPr>
          <w:rFonts w:ascii="맑은 고딕" w:hAnsi="맑은 고딕" w:eastAsia="맑은 고딕"/>
          <w:b/>
          <w:color w:val="17365D"/>
          <w:sz w:val="18"/>
        </w:rPr>
        <w:t>표 1-7. 통합 성과관리 KPI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9"/>
        <w:gridCol w:w="3459"/>
        <w:gridCol w:w="3459"/>
      </w:tblGrid>
      <w:tr>
        <w:tc>
          <w:tcPr>
            <w:tcW w:type="dxa" w:w="1928"/>
            <w:shd w:fill="17365D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5"/>
              </w:rPr>
              <w:t>영역</w:t>
            </w:r>
          </w:p>
        </w:tc>
        <w:tc>
          <w:tcPr>
            <w:tcW w:type="dxa" w:w="4762"/>
            <w:shd w:fill="17365D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5"/>
              </w:rPr>
              <w:t>핵심 KPI</w:t>
            </w:r>
          </w:p>
        </w:tc>
        <w:tc>
          <w:tcPr>
            <w:tcW w:type="dxa" w:w="4762"/>
            <w:shd w:fill="17365D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5"/>
              </w:rPr>
              <w:t>활용</w:t>
            </w:r>
          </w:p>
        </w:tc>
      </w:tr>
      <w:tr>
        <w:tc>
          <w:tcPr>
            <w:tcW w:type="dxa" w:w="1928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5"/>
              </w:rPr>
              <w:t>연구활동</w:t>
            </w:r>
          </w:p>
        </w:tc>
        <w:tc>
          <w:tcPr>
            <w:tcW w:type="dxa" w:w="4762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최근 3개월 모멘텀·고영향 논문·신규 토픽</w:t>
            </w:r>
          </w:p>
        </w:tc>
        <w:tc>
          <w:tcPr>
            <w:tcW w:type="dxa" w:w="4762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연구 활력과 부상기술을 판단함</w:t>
            </w:r>
          </w:p>
        </w:tc>
      </w:tr>
      <w:tr>
        <w:tc>
          <w:tcPr>
            <w:tcW w:type="dxa" w:w="1928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5"/>
              </w:rPr>
              <w:t>융합·기술</w:t>
            </w:r>
          </w:p>
        </w:tc>
        <w:tc>
          <w:tcPr>
            <w:tcW w:type="dxa" w:w="4762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복수분류·교차강도·벤치마크·재현성</w:t>
            </w:r>
          </w:p>
        </w:tc>
        <w:tc>
          <w:tcPr>
            <w:tcW w:type="dxa" w:w="4762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융합확장과 실제 기술진전을 구분함</w:t>
            </w:r>
          </w:p>
        </w:tc>
      </w:tr>
      <w:tr>
        <w:tc>
          <w:tcPr>
            <w:tcW w:type="dxa" w:w="1928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5"/>
              </w:rPr>
              <w:t>주체·인력</w:t>
            </w:r>
          </w:p>
        </w:tc>
        <w:tc>
          <w:tcPr>
            <w:tcW w:type="dxa" w:w="4762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반복 연구자·기관 전문화·산학 이동·기업 참여</w:t>
            </w:r>
          </w:p>
        </w:tc>
        <w:tc>
          <w:tcPr>
            <w:tcW w:type="dxa" w:w="4762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핵심인력과 연구거점을 선정함</w:t>
            </w:r>
          </w:p>
        </w:tc>
      </w:tr>
      <w:tr>
        <w:tc>
          <w:tcPr>
            <w:tcW w:type="dxa" w:w="1928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5"/>
              </w:rPr>
              <w:t>협업</w:t>
            </w:r>
          </w:p>
        </w:tc>
        <w:tc>
          <w:tcPr>
            <w:tcW w:type="dxa" w:w="4762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다기관·국제협력·네트워크 중심성·지속성</w:t>
            </w:r>
          </w:p>
        </w:tc>
        <w:tc>
          <w:tcPr>
            <w:tcW w:type="dxa" w:w="4762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허브·브리지·협력공백을 식별함</w:t>
            </w:r>
          </w:p>
        </w:tc>
      </w:tr>
      <w:tr>
        <w:tc>
          <w:tcPr>
            <w:tcW w:type="dxa" w:w="1928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5"/>
              </w:rPr>
              <w:t>표준·IP</w:t>
            </w:r>
          </w:p>
        </w:tc>
        <w:tc>
          <w:tcPr>
            <w:tcW w:type="dxa" w:w="4762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표준기고·채택·특허군·공동특허·라이선스</w:t>
            </w:r>
          </w:p>
        </w:tc>
        <w:tc>
          <w:tcPr>
            <w:tcW w:type="dxa" w:w="4762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시장규칙과 지식재산 선점 여부를 판단함</w:t>
            </w:r>
          </w:p>
        </w:tc>
      </w:tr>
      <w:tr>
        <w:tc>
          <w:tcPr>
            <w:tcW w:type="dxa" w:w="1928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5"/>
              </w:rPr>
              <w:t>상용화</w:t>
            </w:r>
          </w:p>
        </w:tc>
        <w:tc>
          <w:tcPr>
            <w:tcW w:type="dxa" w:w="4762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PoC·제품배치·조달·투자·매출·산업성과</w:t>
            </w:r>
          </w:p>
        </w:tc>
        <w:tc>
          <w:tcPr>
            <w:tcW w:type="dxa" w:w="4762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확대·전환·중단 의사결정에 활용함</w:t>
            </w:r>
          </w:p>
        </w:tc>
      </w:tr>
      <w:tr>
        <w:tc>
          <w:tcPr>
            <w:tcW w:type="dxa" w:w="1928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5"/>
              </w:rPr>
              <w:t>데이터품질</w:t>
            </w:r>
          </w:p>
        </w:tc>
        <w:tc>
          <w:tcPr>
            <w:tcW w:type="dxa" w:w="4762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DOI·기관·국가·기술분류 커버리지와 오류율</w:t>
            </w:r>
          </w:p>
        </w:tc>
        <w:tc>
          <w:tcPr>
            <w:tcW w:type="dxa" w:w="4762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분석 신뢰도와 보완 우선순위를 관리함</w:t>
            </w:r>
          </w:p>
        </w:tc>
      </w:tr>
    </w:tbl>
    <w:p>
      <w:pPr>
        <w:spacing w:after="0"/>
      </w:pPr>
    </w:p>
    <w:p>
      <w:pPr>
        <w:keepNext/>
        <w:spacing w:before="60" w:after="120" w:line="240" w:lineRule="auto"/>
        <w:jc w:val="left"/>
      </w:pPr>
      <w:r>
        <w:rPr>
          <w:rFonts w:ascii="맑은 고딕" w:hAnsi="맑은 고딕" w:eastAsia="맑은 고딕"/>
          <w:b/>
          <w:color w:val="17365D"/>
          <w:sz w:val="18"/>
        </w:rPr>
        <w:t>표 1-8. 핵심 리스크와 대응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9"/>
        <w:gridCol w:w="3459"/>
        <w:gridCol w:w="3459"/>
      </w:tblGrid>
      <w:tr>
        <w:tc>
          <w:tcPr>
            <w:tcW w:type="dxa" w:w="2381"/>
            <w:shd w:fill="17365D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5"/>
              </w:rPr>
              <w:t>리스크</w:t>
            </w:r>
          </w:p>
        </w:tc>
        <w:tc>
          <w:tcPr>
            <w:tcW w:type="dxa" w:w="4139"/>
            <w:shd w:fill="17365D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5"/>
              </w:rPr>
              <w:t>영향</w:t>
            </w:r>
          </w:p>
        </w:tc>
        <w:tc>
          <w:tcPr>
            <w:tcW w:type="dxa" w:w="4932"/>
            <w:shd w:fill="17365D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5"/>
              </w:rPr>
              <w:t>대응방향</w:t>
            </w:r>
          </w:p>
        </w:tc>
      </w:tr>
      <w:tr>
        <w:tc>
          <w:tcPr>
            <w:tcW w:type="dxa" w:w="2381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5"/>
              </w:rPr>
              <w:t>기술 일정 지연</w:t>
            </w:r>
          </w:p>
        </w:tc>
        <w:tc>
          <w:tcPr>
            <w:tcW w:type="dxa" w:w="4139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오류정정·수율·비용 목표가 반복 지연될 수 있음</w:t>
            </w:r>
          </w:p>
        </w:tc>
        <w:tc>
          <w:tcPr>
            <w:tcW w:type="dxa" w:w="4932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단계형 투자·독립 검증·다중 플랫폼 포트폴리오를 운영함</w:t>
            </w:r>
          </w:p>
        </w:tc>
      </w:tr>
      <w:tr>
        <w:tc>
          <w:tcPr>
            <w:tcW w:type="dxa" w:w="2381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5"/>
              </w:rPr>
              <w:t>시장 과대기대</w:t>
            </w:r>
          </w:p>
        </w:tc>
        <w:tc>
          <w:tcPr>
            <w:tcW w:type="dxa" w:w="4139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PoC가 실제 업무·ROI로 연결되지 않을 수 있음</w:t>
            </w:r>
          </w:p>
        </w:tc>
        <w:tc>
          <w:tcPr>
            <w:tcW w:type="dxa" w:w="4932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사용사례 가치·통합비용·기회비용을 사전평가함</w:t>
            </w:r>
          </w:p>
        </w:tc>
      </w:tr>
      <w:tr>
        <w:tc>
          <w:tcPr>
            <w:tcW w:type="dxa" w:w="2381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5"/>
              </w:rPr>
              <w:t>표준 분절</w:t>
            </w:r>
          </w:p>
        </w:tc>
        <w:tc>
          <w:tcPr>
            <w:tcW w:type="dxa" w:w="4139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지역·기관별 프로토콜과 인증이 달라질 수 있음</w:t>
            </w:r>
          </w:p>
        </w:tc>
        <w:tc>
          <w:tcPr>
            <w:tcW w:type="dxa" w:w="4932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국제표준 연계·상호운용 시험·전환 로드맵을 강화함</w:t>
            </w:r>
          </w:p>
        </w:tc>
      </w:tr>
      <w:tr>
        <w:tc>
          <w:tcPr>
            <w:tcW w:type="dxa" w:w="2381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5"/>
              </w:rPr>
              <w:t>공급망 편중</w:t>
            </w:r>
          </w:p>
        </w:tc>
        <w:tc>
          <w:tcPr>
            <w:tcW w:type="dxa" w:w="4139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극저온·광원·공정·제어 장비 의존이 발생할 수 있음</w:t>
            </w:r>
          </w:p>
        </w:tc>
        <w:tc>
          <w:tcPr>
            <w:tcW w:type="dxa" w:w="4932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다중공급·공동시설·핵심부품 R&amp;D를 추진함</w:t>
            </w:r>
          </w:p>
        </w:tc>
      </w:tr>
      <w:tr>
        <w:tc>
          <w:tcPr>
            <w:tcW w:type="dxa" w:w="2381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5"/>
              </w:rPr>
              <w:t>인력 미스매치</w:t>
            </w:r>
          </w:p>
        </w:tc>
        <w:tc>
          <w:tcPr>
            <w:tcW w:type="dxa" w:w="4139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물리·공학·SW·산업인력 간 단절이 발생할 수 있음</w:t>
            </w:r>
          </w:p>
        </w:tc>
        <w:tc>
          <w:tcPr>
            <w:tcW w:type="dxa" w:w="4932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융합교육·산업파견·공동박사·재교육을 확대함</w:t>
            </w:r>
          </w:p>
        </w:tc>
      </w:tr>
      <w:tr>
        <w:tc>
          <w:tcPr>
            <w:tcW w:type="dxa" w:w="2381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5"/>
              </w:rPr>
              <w:t>연구보안·수출통제</w:t>
            </w:r>
          </w:p>
        </w:tc>
        <w:tc>
          <w:tcPr>
            <w:tcW w:type="dxa" w:w="4139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국제협력과 장비·데이터 이동이 지연될 수 있음</w:t>
            </w:r>
          </w:p>
        </w:tc>
        <w:tc>
          <w:tcPr>
            <w:tcW w:type="dxa" w:w="4932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협력등급·IP·보안·수출통제 절차를 사전 설계함</w:t>
            </w:r>
          </w:p>
        </w:tc>
      </w:tr>
      <w:tr>
        <w:tc>
          <w:tcPr>
            <w:tcW w:type="dxa" w:w="2381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5"/>
              </w:rPr>
              <w:t>데이터 편향</w:t>
            </w:r>
          </w:p>
        </w:tc>
        <w:tc>
          <w:tcPr>
            <w:tcW w:type="dxa" w:w="4139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arXiv·검색식·기관표준화에 따라 순위가 변동될 수 있음</w:t>
            </w:r>
          </w:p>
        </w:tc>
        <w:tc>
          <w:tcPr>
            <w:tcW w:type="dxa" w:w="4932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다중 DB·민감도 분석·전문가 검증을 병행함</w:t>
            </w:r>
          </w:p>
        </w:tc>
      </w:tr>
    </w:tbl>
    <w:p>
      <w:pPr>
        <w:spacing w:after="0"/>
      </w:pPr>
    </w:p>
    <w:p>
      <w:pPr>
        <w:keepNext/>
        <w:spacing w:before="240" w:after="120" w:line="240" w:lineRule="auto"/>
        <w:pBdr>
          <w:bottom w:val="single" w:sz="12" w:space="3" w:color="2F75B5"/>
        </w:pBdr>
      </w:pPr>
      <w:r>
        <w:rPr>
          <w:rFonts w:ascii="맑은 고딕" w:hAnsi="맑은 고딕" w:eastAsia="맑은 고딕"/>
          <w:b/>
          <w:color w:val="17365D"/>
          <w:sz w:val="30"/>
        </w:rPr>
        <w:t>1.11 최종 전략메시지</w:t>
      </w:r>
    </w:p>
    <w:p>
      <w:pPr>
        <w:keepNext w:val="0"/>
        <w:spacing w:before="0" w:after="60" w:line="307" w:lineRule="auto"/>
        <w:ind w:left="272" w:hanging="193"/>
      </w:pPr>
      <w:r>
        <w:rPr>
          <w:rFonts w:ascii="맑은 고딕" w:hAnsi="맑은 고딕" w:eastAsia="맑은 고딕"/>
          <w:b/>
          <w:color w:val="2F75B5"/>
          <w:sz w:val="20"/>
        </w:rPr>
        <w:t xml:space="preserve">□ </w:t>
      </w:r>
      <w:r>
        <w:rPr>
          <w:rFonts w:ascii="맑은 고딕" w:hAnsi="맑은 고딕" w:eastAsia="맑은 고딕"/>
          <w:b/>
          <w:color w:val="243447"/>
          <w:sz w:val="20"/>
        </w:rPr>
        <w:t>양자기술 경쟁의 중심은 논문 수 확대에서 검증 가능한 성능, 경제성, 표준, 공급망, 산업 배치로 이동하고 있음.</w:t>
      </w:r>
    </w:p>
    <w:p>
      <w:pPr>
        <w:keepNext w:val="0"/>
        <w:spacing w:before="0" w:after="60" w:line="307" w:lineRule="auto"/>
        <w:ind w:left="272" w:hanging="193"/>
      </w:pPr>
      <w:r>
        <w:rPr>
          <w:rFonts w:ascii="맑은 고딕" w:hAnsi="맑은 고딕" w:eastAsia="맑은 고딕"/>
          <w:b/>
          <w:color w:val="6B7280"/>
          <w:sz w:val="20"/>
        </w:rPr>
        <w:t xml:space="preserve">· </w:t>
      </w:r>
      <w:r>
        <w:rPr>
          <w:rFonts w:ascii="맑은 고딕" w:hAnsi="맑은 고딕" w:eastAsia="맑은 고딕"/>
          <w:b w:val="0"/>
          <w:color w:val="243447"/>
          <w:sz w:val="20"/>
        </w:rPr>
        <w:t>한국은 양적 전면추격보다 기술축별 선택과 집중, 공용 인프라, 국제 허브 연계, 표준 선점, 산업수요 기반 PoC를 결합해야 함.</w:t>
      </w:r>
    </w:p>
    <w:p>
      <w:pPr>
        <w:keepNext w:val="0"/>
        <w:spacing w:before="0" w:after="60" w:line="307" w:lineRule="auto"/>
        <w:ind w:left="272" w:hanging="193"/>
      </w:pPr>
      <w:r>
        <w:rPr>
          <w:rFonts w:ascii="맑은 고딕" w:hAnsi="맑은 고딕" w:eastAsia="맑은 고딕"/>
          <w:b/>
          <w:color w:val="6B7280"/>
          <w:sz w:val="20"/>
        </w:rPr>
        <w:t xml:space="preserve">· </w:t>
      </w:r>
      <w:r>
        <w:rPr>
          <w:rFonts w:ascii="맑은 고딕" w:hAnsi="맑은 고딕" w:eastAsia="맑은 고딕"/>
          <w:b w:val="0"/>
          <w:color w:val="243447"/>
          <w:sz w:val="20"/>
        </w:rPr>
        <w:t>단기에는 컴퓨팅·SW/AI, 통신·보안, 센싱·계측을 상용화 창구로 활용하고 소자·소재를 핵심 공급망으로 강화함.</w:t>
      </w:r>
    </w:p>
    <w:p>
      <w:pPr>
        <w:keepNext w:val="0"/>
        <w:spacing w:before="0" w:after="60" w:line="307" w:lineRule="auto"/>
        <w:ind w:left="272" w:hanging="193"/>
      </w:pPr>
      <w:r>
        <w:rPr>
          <w:rFonts w:ascii="맑은 고딕" w:hAnsi="맑은 고딕" w:eastAsia="맑은 고딕"/>
          <w:b/>
          <w:color w:val="6B7280"/>
          <w:sz w:val="20"/>
        </w:rPr>
        <w:t xml:space="preserve">· </w:t>
      </w:r>
      <w:r>
        <w:rPr>
          <w:rFonts w:ascii="맑은 고딕" w:hAnsi="맑은 고딕" w:eastAsia="맑은 고딕"/>
          <w:b w:val="0"/>
          <w:color w:val="243447"/>
          <w:sz w:val="20"/>
        </w:rPr>
        <w:t>중장기에는 이론·시뮬레이션의 원천경쟁력을 유지하면서 제약·소재·에너지 등 고가치 산업문제를 통해 응용시장을 발굴함.</w:t>
      </w:r>
    </w:p>
    <w:p>
      <w:pPr>
        <w:keepNext w:val="0"/>
        <w:spacing w:before="0" w:after="60" w:line="307" w:lineRule="auto"/>
        <w:ind w:left="272" w:hanging="193"/>
      </w:pPr>
      <w:r>
        <w:rPr>
          <w:rFonts w:ascii="맑은 고딕" w:hAnsi="맑은 고딕" w:eastAsia="맑은 고딕"/>
          <w:b/>
          <w:color w:val="6B7280"/>
          <w:sz w:val="20"/>
        </w:rPr>
        <w:t xml:space="preserve">· </w:t>
      </w:r>
      <w:r>
        <w:rPr>
          <w:rFonts w:ascii="맑은 고딕" w:hAnsi="맑은 고딕" w:eastAsia="맑은 고딕"/>
          <w:b w:val="0"/>
          <w:color w:val="243447"/>
          <w:sz w:val="20"/>
        </w:rPr>
        <w:t>정책·R&amp;D·산업·표준화의 성과관리는 논문–특허–과제–표준–시장 데이터를 연결한 상시 모니터링으로 전환함.</w:t>
      </w:r>
    </w:p>
    <w:p>
      <w:pPr>
        <w:keepNext w:val="0"/>
        <w:spacing w:before="0" w:after="60" w:line="307" w:lineRule="auto"/>
        <w:ind w:left="272" w:hanging="193"/>
      </w:pPr>
      <w:r>
        <w:rPr>
          <w:rFonts w:ascii="맑은 고딕" w:hAnsi="맑은 고딕" w:eastAsia="맑은 고딕"/>
          <w:b/>
          <w:color w:val="6B7280"/>
          <w:sz w:val="20"/>
        </w:rPr>
        <w:t xml:space="preserve">· </w:t>
      </w:r>
      <w:r>
        <w:rPr>
          <w:rFonts w:ascii="맑은 고딕" w:hAnsi="맑은 고딕" w:eastAsia="맑은 고딕"/>
          <w:b w:val="0"/>
          <w:color w:val="243447"/>
          <w:sz w:val="20"/>
        </w:rPr>
        <w:t>본 Executive Summary의 판단은 후속 통합보고서 작성 시 각 장의 상세 표·그래프·근거자료와 연결하여 최종 의사결정 근거로 활용함.</w:t>
      </w:r>
    </w:p>
    <w:p>
      <w:pPr>
        <w:keepNext/>
        <w:spacing w:before="60" w:after="120" w:line="240" w:lineRule="auto"/>
        <w:jc w:val="left"/>
      </w:pPr>
      <w:r>
        <w:rPr>
          <w:rFonts w:ascii="맑은 고딕" w:hAnsi="맑은 고딕" w:eastAsia="맑은 고딕"/>
          <w:b/>
          <w:color w:val="17365D"/>
          <w:sz w:val="18"/>
        </w:rPr>
        <w:t>표 1-9. 경영·정책 의사결정 우선순위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9"/>
        <w:gridCol w:w="3459"/>
        <w:gridCol w:w="3459"/>
      </w:tblGrid>
      <w:tr>
        <w:tc>
          <w:tcPr>
            <w:tcW w:type="dxa" w:w="1247"/>
            <w:shd w:fill="17365D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5"/>
              </w:rPr>
              <w:t>우선순위</w:t>
            </w:r>
          </w:p>
        </w:tc>
        <w:tc>
          <w:tcPr>
            <w:tcW w:type="dxa" w:w="4535"/>
            <w:shd w:fill="17365D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5"/>
              </w:rPr>
              <w:t>의사결정 과제</w:t>
            </w:r>
          </w:p>
        </w:tc>
        <w:tc>
          <w:tcPr>
            <w:tcW w:type="dxa" w:w="5669"/>
            <w:shd w:fill="17365D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2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5"/>
              </w:rPr>
              <w:t>즉시 조치</w:t>
            </w:r>
          </w:p>
        </w:tc>
      </w:tr>
      <w:tr>
        <w:tc>
          <w:tcPr>
            <w:tcW w:type="dxa" w:w="1247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5"/>
              </w:rPr>
              <w:t>1</w:t>
            </w:r>
          </w:p>
        </w:tc>
        <w:tc>
          <w:tcPr>
            <w:tcW w:type="dxa" w:w="4535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6대 기술축별 투자 포트폴리오 확정</w:t>
            </w:r>
          </w:p>
        </w:tc>
        <w:tc>
          <w:tcPr>
            <w:tcW w:type="dxa" w:w="5669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기술 정의서·검색식·정량지표·전문가 평가를 통합함</w:t>
            </w:r>
          </w:p>
        </w:tc>
      </w:tr>
      <w:tr>
        <w:tc>
          <w:tcPr>
            <w:tcW w:type="dxa" w:w="1247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5"/>
              </w:rPr>
              <w:t>2</w:t>
            </w:r>
          </w:p>
        </w:tc>
        <w:tc>
          <w:tcPr>
            <w:tcW w:type="dxa" w:w="4535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성능·경제성·표준 기반의 검증체계 구축</w:t>
            </w:r>
          </w:p>
        </w:tc>
        <w:tc>
          <w:tcPr>
            <w:tcW w:type="dxa" w:w="5669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독립 벤치마크·시험인증·산업 PoC를 설계함</w:t>
            </w:r>
          </w:p>
        </w:tc>
      </w:tr>
      <w:tr>
        <w:tc>
          <w:tcPr>
            <w:tcW w:type="dxa" w:w="1247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5"/>
              </w:rPr>
              <w:t>3</w:t>
            </w:r>
          </w:p>
        </w:tc>
        <w:tc>
          <w:tcPr>
            <w:tcW w:type="dxa" w:w="4535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핵심 인프라·부품·공급망 확보</w:t>
            </w:r>
          </w:p>
        </w:tc>
        <w:tc>
          <w:tcPr>
            <w:tcW w:type="dxa" w:w="5669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공동시설·파운드리·극저온·광자·제어 로드맵을 수립함</w:t>
            </w:r>
          </w:p>
        </w:tc>
      </w:tr>
      <w:tr>
        <w:tc>
          <w:tcPr>
            <w:tcW w:type="dxa" w:w="1247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5"/>
              </w:rPr>
              <w:t>4</w:t>
            </w:r>
          </w:p>
        </w:tc>
        <w:tc>
          <w:tcPr>
            <w:tcW w:type="dxa" w:w="4535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국제 허브기관·브리지 인력 연계</w:t>
            </w:r>
          </w:p>
        </w:tc>
        <w:tc>
          <w:tcPr>
            <w:tcW w:type="dxa" w:w="5669"/>
            <w:shd w:fill="F2F4F7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기술군별 공동과제·시설공유·공동표준을 추진함</w:t>
            </w:r>
          </w:p>
        </w:tc>
      </w:tr>
      <w:tr>
        <w:tc>
          <w:tcPr>
            <w:tcW w:type="dxa" w:w="1247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/>
                <w:color w:val="243447"/>
                <w:sz w:val="15"/>
              </w:rPr>
              <w:t>5</w:t>
            </w:r>
          </w:p>
        </w:tc>
        <w:tc>
          <w:tcPr>
            <w:tcW w:type="dxa" w:w="4535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통합 데이터·KPI 기반 포트폴리오 관리</w:t>
            </w:r>
          </w:p>
        </w:tc>
        <w:tc>
          <w:tcPr>
            <w:tcW w:type="dxa" w:w="5669"/>
            <w:shd w:fill="FFFFFF"/>
            <w:tcBorders>
              <w:top w:val="single" w:sz="5" w:color="CAD4DF"/>
              <w:left w:val="single" w:sz="5" w:color="CAD4DF"/>
              <w:bottom w:val="single" w:sz="5" w:color="CAD4DF"/>
              <w:right w:val="single" w:sz="5" w:color="CAD4DF"/>
            </w:tcBorders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keepNext w:val="0"/>
              <w:spacing w:before="0" w:after="0" w:line="259" w:lineRule="auto"/>
              <w:jc w:val="left"/>
            </w:pPr>
            <w:r>
              <w:rPr>
                <w:rFonts w:ascii="맑은 고딕" w:hAnsi="맑은 고딕" w:eastAsia="맑은 고딕"/>
                <w:b w:val="0"/>
                <w:color w:val="243447"/>
                <w:sz w:val="15"/>
              </w:rPr>
              <w:t>분기 모니터링과 확대·전환·중단 기준을 운영함</w:t>
            </w:r>
          </w:p>
        </w:tc>
      </w:tr>
    </w:tbl>
    <w:p>
      <w:pPr>
        <w:spacing w:after="0"/>
      </w:pPr>
    </w:p>
    <w:p>
      <w:pPr>
        <w:keepNext/>
        <w:spacing w:before="240" w:after="120" w:line="240" w:lineRule="auto"/>
        <w:pBdr>
          <w:bottom w:val="single" w:sz="12" w:space="3" w:color="2F75B5"/>
        </w:pBdr>
      </w:pPr>
      <w:r>
        <w:rPr>
          <w:rFonts w:ascii="맑은 고딕" w:hAnsi="맑은 고딕" w:eastAsia="맑은 고딕"/>
          <w:b/>
          <w:color w:val="17365D"/>
          <w:sz w:val="30"/>
        </w:rPr>
        <w:t>참고자료</w:t>
      </w:r>
    </w:p>
    <w:p>
      <w:pPr>
        <w:keepNext w:val="0"/>
        <w:spacing w:before="0" w:after="60" w:line="276" w:lineRule="auto"/>
        <w:ind w:left="238" w:hanging="238"/>
      </w:pPr>
      <w:r>
        <w:rPr>
          <w:rFonts w:ascii="맑은 고딕" w:hAnsi="맑은 고딕" w:eastAsia="맑은 고딕"/>
          <w:b/>
          <w:color w:val="17365D"/>
          <w:sz w:val="17"/>
        </w:rPr>
        <w:t xml:space="preserve">[R1] </w:t>
      </w:r>
      <w:hyperlink r:id="rId17">
        <w:r>
          <w:rPr>
            <w:color w:val="0563C1"/>
            <w:u w:val="single"/>
          </w:rPr>
          <w:t>National Quantum Initiative, Annual Report FY2025</w:t>
        </w:r>
      </w:hyperlink>
    </w:p>
    <w:p>
      <w:pPr>
        <w:keepNext w:val="0"/>
        <w:spacing w:before="0" w:after="60" w:line="276" w:lineRule="auto"/>
        <w:ind w:left="238" w:hanging="238"/>
      </w:pPr>
      <w:r>
        <w:rPr>
          <w:rFonts w:ascii="맑은 고딕" w:hAnsi="맑은 고딕" w:eastAsia="맑은 고딕"/>
          <w:b/>
          <w:color w:val="17365D"/>
          <w:sz w:val="17"/>
        </w:rPr>
        <w:t xml:space="preserve">[R2] </w:t>
      </w:r>
      <w:hyperlink r:id="rId18">
        <w:r>
          <w:rPr>
            <w:color w:val="0563C1"/>
            <w:u w:val="single"/>
          </w:rPr>
          <w:t>European Commission, Quantum Europe Strategy, 2025</w:t>
        </w:r>
      </w:hyperlink>
    </w:p>
    <w:p>
      <w:pPr>
        <w:keepNext w:val="0"/>
        <w:spacing w:before="0" w:after="60" w:line="276" w:lineRule="auto"/>
        <w:ind w:left="238" w:hanging="238"/>
      </w:pPr>
      <w:r>
        <w:rPr>
          <w:rFonts w:ascii="맑은 고딕" w:hAnsi="맑은 고딕" w:eastAsia="맑은 고딕"/>
          <w:b/>
          <w:color w:val="17365D"/>
          <w:sz w:val="17"/>
        </w:rPr>
        <w:t xml:space="preserve">[R3] </w:t>
      </w:r>
      <w:hyperlink r:id="rId19">
        <w:r>
          <w:rPr>
            <w:color w:val="0563C1"/>
            <w:u w:val="single"/>
          </w:rPr>
          <w:t>The White House, Executive Order 14413: Ushering in the Next Frontier of Quantum Innovation, 2026</w:t>
        </w:r>
      </w:hyperlink>
    </w:p>
    <w:p>
      <w:pPr>
        <w:keepNext w:val="0"/>
        <w:spacing w:before="0" w:after="60" w:line="276" w:lineRule="auto"/>
        <w:ind w:left="238" w:hanging="238"/>
      </w:pPr>
      <w:r>
        <w:rPr>
          <w:rFonts w:ascii="맑은 고딕" w:hAnsi="맑은 고딕" w:eastAsia="맑은 고딕"/>
          <w:b/>
          <w:color w:val="17365D"/>
          <w:sz w:val="17"/>
        </w:rPr>
        <w:t xml:space="preserve">[R4] </w:t>
      </w:r>
      <w:hyperlink r:id="rId20">
        <w:r>
          <w:rPr>
            <w:color w:val="0563C1"/>
            <w:u w:val="single"/>
          </w:rPr>
          <w:t>NIST CSRC, Post-Quantum Cryptography FIPS Approved</w:t>
        </w:r>
      </w:hyperlink>
    </w:p>
    <w:p>
      <w:pPr>
        <w:keepNext w:val="0"/>
        <w:spacing w:before="0" w:after="60" w:line="276" w:lineRule="auto"/>
        <w:ind w:left="238" w:hanging="238"/>
      </w:pPr>
      <w:r>
        <w:rPr>
          <w:rFonts w:ascii="맑은 고딕" w:hAnsi="맑은 고딕" w:eastAsia="맑은 고딕"/>
          <w:b/>
          <w:color w:val="17365D"/>
          <w:sz w:val="17"/>
        </w:rPr>
        <w:t xml:space="preserve">[R5] </w:t>
      </w:r>
      <w:hyperlink r:id="rId21">
        <w:r>
          <w:rPr>
            <w:color w:val="0563C1"/>
            <w:u w:val="single"/>
          </w:rPr>
          <w:t>DARPA, Quantum Benchmarking Initiative</w:t>
        </w:r>
      </w:hyperlink>
    </w:p>
    <w:p>
      <w:pPr>
        <w:keepNext w:val="0"/>
        <w:spacing w:before="0" w:after="60" w:line="276" w:lineRule="auto"/>
        <w:ind w:left="238" w:hanging="238"/>
      </w:pPr>
      <w:r>
        <w:rPr>
          <w:rFonts w:ascii="맑은 고딕" w:hAnsi="맑은 고딕" w:eastAsia="맑은 고딕"/>
          <w:b/>
          <w:color w:val="17365D"/>
          <w:sz w:val="17"/>
        </w:rPr>
        <w:t xml:space="preserve">[R6] </w:t>
      </w:r>
      <w:hyperlink r:id="rId22">
        <w:r>
          <w:rPr>
            <w:color w:val="0563C1"/>
            <w:u w:val="single"/>
          </w:rPr>
          <w:t>과학기술정보통신부, 제1차 양자종합계획, 2026</w:t>
        </w:r>
      </w:hyperlink>
    </w:p>
    <w:p>
      <w:pPr>
        <w:keepNext w:val="0"/>
        <w:spacing w:before="0" w:after="60" w:line="276" w:lineRule="auto"/>
        <w:ind w:left="238" w:hanging="238"/>
      </w:pPr>
      <w:r>
        <w:rPr>
          <w:rFonts w:ascii="맑은 고딕" w:hAnsi="맑은 고딕" w:eastAsia="맑은 고딕"/>
          <w:b/>
          <w:color w:val="17365D"/>
          <w:sz w:val="17"/>
        </w:rPr>
        <w:t xml:space="preserve">[R7] </w:t>
      </w:r>
      <w:hyperlink r:id="rId23">
        <w:r>
          <w:rPr>
            <w:color w:val="0563C1"/>
            <w:u w:val="single"/>
          </w:rPr>
          <w:t>IBM Quantum, Hardware and Roadmap</w:t>
        </w:r>
      </w:hyperlink>
    </w:p>
    <w:p>
      <w:pPr>
        <w:keepNext w:val="0"/>
        <w:spacing w:before="0" w:after="60" w:line="276" w:lineRule="auto"/>
        <w:ind w:left="238" w:hanging="238"/>
      </w:pPr>
      <w:r>
        <w:rPr>
          <w:rFonts w:ascii="맑은 고딕" w:hAnsi="맑은 고딕" w:eastAsia="맑은 고딕"/>
          <w:b/>
          <w:color w:val="17365D"/>
          <w:sz w:val="17"/>
        </w:rPr>
        <w:t xml:space="preserve">[R8] </w:t>
      </w:r>
      <w:hyperlink r:id="rId24">
        <w:r>
          <w:rPr>
            <w:color w:val="0563C1"/>
            <w:u w:val="single"/>
          </w:rPr>
          <w:t>ITU-T Y.Sup98, Technical Considerations Towards Quantum Networks, 2025</w:t>
        </w:r>
      </w:hyperlink>
    </w:p>
    <w:sectPr w:rsidR="00FC693F" w:rsidRPr="0006063C" w:rsidSect="00034616">
      <w:headerReference w:type="default" r:id="rId9"/>
      <w:footerReference w:type="default" r:id="rId10"/>
      <w:pgSz w:w="11906" w:h="16838"/>
      <w:pgMar w:top="765" w:right="765" w:bottom="765" w:left="765" w:header="312" w:footer="31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맑은 고딕" w:hAnsi="맑은 고딕" w:eastAsia="맑은 고딕"/>
        <w:b w:val="0"/>
        <w:color w:val="6B7280"/>
        <w:sz w:val="16"/>
      </w:rPr>
      <w:t xml:space="preserve">분석 기준: 2025.06~2026.05, 12개월·2,400건  | 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맑은 고딕" w:hAnsi="맑은 고딕" w:eastAsia="맑은 고딕"/>
        <w:b/>
        <w:color w:val="17365D"/>
        <w:sz w:val="16"/>
      </w:rPr>
      <w:t>arXiv 양자 분야 논문 분석 | 제1장 Executive Summary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hyperlink" Target="https://www.quantum.gov/wp-content/uploads/2024/12/NQI-Annual-Report-FY2025.pdf" TargetMode="External"/><Relationship Id="rId18" Type="http://schemas.openxmlformats.org/officeDocument/2006/relationships/hyperlink" Target="https://digital-strategy.ec.europa.eu/en/library/quantum-europe-strategy" TargetMode="External"/><Relationship Id="rId19" Type="http://schemas.openxmlformats.org/officeDocument/2006/relationships/hyperlink" Target="https://www.whitehouse.gov/presidential-actions/2026/06/ushering-in-the-next-frontier-of-quantum-innovation/" TargetMode="External"/><Relationship Id="rId20" Type="http://schemas.openxmlformats.org/officeDocument/2006/relationships/hyperlink" Target="https://csrc.nist.gov/news/2024/postquantum-cryptography-fips-approved" TargetMode="External"/><Relationship Id="rId21" Type="http://schemas.openxmlformats.org/officeDocument/2006/relationships/hyperlink" Target="https://www.darpa.mil/research/programs/quantum-benchmarking-initiative" TargetMode="External"/><Relationship Id="rId22" Type="http://schemas.openxmlformats.org/officeDocument/2006/relationships/hyperlink" Target="https://www.msit.go.kr/eng/bbs/view.do?bbsSeqNo=42&amp;mId=4&amp;mPid=2&amp;nttSeqNo=1222&amp;sCode=eng" TargetMode="External"/><Relationship Id="rId23" Type="http://schemas.openxmlformats.org/officeDocument/2006/relationships/hyperlink" Target="https://www.ibm.com/quantum/hardware" TargetMode="External"/><Relationship Id="rId24" Type="http://schemas.openxmlformats.org/officeDocument/2006/relationships/hyperlink" Target="https://www.itu.int/rec/dologin_pub.asp?id=T-REC-Y.Sup98-202511-I!!PDF-E&amp;lang=s&amp;type=item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arXiv 양자 분야 제1장 Executive Summary</dc:title>
  <dc:subject>제2~7장 분석 결과와 최신 시장·기술·정책·표준화 자료의 통합 요약</dc:subject>
  <dc:creator>OpenAI</dc:creator>
  <cp:keywords>arXiv, 양자, Executive Summary, 연구동향, 전략, 시장, 정책, 표준화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