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546"/>
      </w:tblGrid>
      <w:tr>
        <w:tc>
          <w:tcPr>
            <w:tcW w:type="dxa" w:w="10546"/>
            <w:shd w:fill="12314F"/>
            <w:tcMar>
              <w:top w:w="700" w:type="dxa"/>
              <w:start w:w="350" w:type="dxa"/>
              <w:bottom w:w="700" w:type="dxa"/>
              <w:end w:w="350" w:type="dxa"/>
            </w:tcMar>
            <w:tcBorders>
              <w:top w:val="single" w:sz="0" w:color="12314F"/>
              <w:left w:val="single" w:sz="0" w:color="12314F"/>
              <w:bottom w:val="single" w:sz="0" w:color="12314F"/>
              <w:right w:val="single" w:sz="0" w:color="12314F"/>
            </w:tcBorders>
          </w:tcPr>
          <w:p>
            <w:pPr>
              <w:jc w:val="center"/>
            </w:pPr>
            <w:r>
              <w:rPr>
                <w:rFonts w:ascii="맑은 고딕" w:hAnsi="맑은 고딕" w:eastAsia="맑은 고딕"/>
                <w:b/>
                <w:color w:val="A7C8E8"/>
                <w:sz w:val="30"/>
              </w:rPr>
              <w:t>CHAPTER 2</w:t>
            </w:r>
          </w:p>
          <w:p>
            <w:pPr>
              <w:jc w:val="center"/>
            </w:pPr>
            <w:r>
              <w:rPr>
                <w:rFonts w:ascii="맑은 고딕" w:hAnsi="맑은 고딕" w:eastAsia="맑은 고딕"/>
                <w:b/>
                <w:color w:val="FFFFFF"/>
                <w:sz w:val="54"/>
              </w:rPr>
              <w:t>분석 대상 및 방법론</w:t>
            </w:r>
          </w:p>
          <w:p>
            <w:pPr>
              <w:jc w:val="center"/>
            </w:pPr>
            <w:r>
              <w:rPr>
                <w:rFonts w:ascii="맑은 고딕" w:hAnsi="맑은 고딕" w:eastAsia="맑은 고딕"/>
                <w:b w:val="0"/>
                <w:color w:val="D8E8F4"/>
                <w:sz w:val="24"/>
              </w:rPr>
              <w:t>arXiv 기반 양자 분야 논문 수집·분석 개별 보고서</w:t>
            </w:r>
          </w:p>
          <w:p>
            <w:pPr>
              <w:spacing w:before="360"/>
              <w:jc w:val="center"/>
            </w:pPr>
            <w:r>
              <w:rPr>
                <w:rFonts w:ascii="맑은 고딕" w:hAnsi="맑은 고딕" w:eastAsia="맑은 고딕"/>
                <w:b/>
                <w:color w:val="F7DCA5"/>
                <w:sz w:val="22"/>
              </w:rPr>
              <w:t>정량 분석 × 시장·기술·정책·표준화 정성 분석의 통합 방법론</w:t>
            </w:r>
          </w:p>
        </w:tc>
      </w:tr>
    </w:tbl>
    <w:p/>
    <w:tbl>
      <w:tblPr>
        <w:tblW w:type="auto" w:w="0"/>
        <w:jc w:val="center"/>
        <w:tblLayout w:type="fixed"/>
        <w:tblLook w:firstColumn="1" w:firstRow="1" w:lastColumn="0" w:lastRow="0" w:noHBand="0" w:noVBand="1" w:val="04A0"/>
      </w:tblPr>
      <w:tblGrid>
        <w:gridCol w:w="10546"/>
      </w:tblGrid>
      <w:tr>
        <w:tc>
          <w:tcPr>
            <w:tcW w:type="dxa" w:w="10546"/>
            <w:shd w:fill="E8F2FA"/>
            <w:tcBorders>
              <w:top w:val="single" w:sz="8" w:color="4C8ED9"/>
              <w:left w:val="single" w:sz="8" w:color="4C8ED9"/>
              <w:bottom w:val="single" w:sz="8" w:color="4C8ED9"/>
              <w:right w:val="single" w:sz="8" w:color="4C8ED9"/>
            </w:tcBorders>
            <w:tcMar>
              <w:top w:w="120" w:type="dxa"/>
              <w:start w:w="160" w:type="dxa"/>
              <w:bottom w:w="120" w:type="dxa"/>
              <w:end w:w="160" w:type="dxa"/>
            </w:tcMar>
          </w:tcPr>
          <w:p>
            <w:pPr>
              <w:spacing w:before="0" w:after="80" w:line="300" w:lineRule="auto"/>
              <w:widowControl/>
            </w:pPr>
            <w:r>
              <w:rPr>
                <w:rFonts w:ascii="맑은 고딕" w:hAnsi="맑은 고딕" w:eastAsia="맑은 고딕"/>
                <w:b/>
                <w:color w:val="12314F"/>
                <w:sz w:val="22"/>
              </w:rPr>
              <w:t>본 장의 작성 기준</w:t>
            </w:r>
          </w:p>
          <w:p>
            <w:pPr>
              <w:spacing w:before="0" w:after="40" w:line="288" w:lineRule="auto"/>
              <w:ind w:left="198" w:hanging="142"/>
              <w:widowControl/>
            </w:pPr>
            <w:r>
              <w:rPr>
                <w:rFonts w:ascii="맑은 고딕" w:hAnsi="맑은 고딕" w:eastAsia="맑은 고딕"/>
                <w:b/>
                <w:color w:val="4C8ED9"/>
                <w:sz w:val="19"/>
              </w:rPr>
              <w:t xml:space="preserve">• </w:t>
            </w:r>
            <w:r>
              <w:rPr>
                <w:rFonts w:ascii="맑은 고딕" w:hAnsi="맑은 고딕" w:eastAsia="맑은 고딕"/>
                <w:b w:val="0"/>
                <w:color w:val="203040"/>
                <w:sz w:val="19"/>
              </w:rPr>
              <w:t>수집 원자료는 2025년 6월 6일부터 2026년 6월 6일까지의 2,427건으로 관리함.</w:t>
            </w:r>
          </w:p>
          <w:p>
            <w:pPr>
              <w:spacing w:before="0" w:after="40" w:line="288" w:lineRule="auto"/>
              <w:ind w:left="198" w:hanging="142"/>
              <w:widowControl/>
            </w:pPr>
            <w:r>
              <w:rPr>
                <w:rFonts w:ascii="맑은 고딕" w:hAnsi="맑은 고딕" w:eastAsia="맑은 고딕"/>
                <w:b/>
                <w:color w:val="4C8ED9"/>
                <w:sz w:val="19"/>
              </w:rPr>
              <w:t xml:space="preserve">• </w:t>
            </w:r>
            <w:r>
              <w:rPr>
                <w:rFonts w:ascii="맑은 고딕" w:hAnsi="맑은 고딕" w:eastAsia="맑은 고딕"/>
                <w:b w:val="0"/>
                <w:color w:val="203040"/>
                <w:sz w:val="19"/>
              </w:rPr>
              <w:t>수치 분석은 2026년 6월 부분월 27건을 제외한 2025년 6월~2026년 5월의 12개월·2,400건을 기준으로 수행함.</w:t>
            </w:r>
          </w:p>
          <w:p>
            <w:pPr>
              <w:spacing w:before="0" w:after="40" w:line="288" w:lineRule="auto"/>
              <w:ind w:left="198" w:hanging="142"/>
              <w:widowControl/>
            </w:pPr>
            <w:r>
              <w:rPr>
                <w:rFonts w:ascii="맑은 고딕" w:hAnsi="맑은 고딕" w:eastAsia="맑은 고딕"/>
                <w:b/>
                <w:color w:val="4C8ED9"/>
                <w:sz w:val="19"/>
              </w:rPr>
              <w:t xml:space="preserve">• </w:t>
            </w:r>
            <w:r>
              <w:rPr>
                <w:rFonts w:ascii="맑은 고딕" w:hAnsi="맑은 고딕" w:eastAsia="맑은 고딕"/>
                <w:b w:val="0"/>
                <w:color w:val="203040"/>
                <w:sz w:val="19"/>
              </w:rPr>
              <w:t>제3장 연구 규모·성장, 제4장 분야·카테고리, 제5장 연구 주체, 제6장 협업 구조의 공통 모집단과 지표 정의를 고정함.</w:t>
            </w:r>
          </w:p>
          <w:p>
            <w:pPr>
              <w:spacing w:before="0" w:after="40" w:line="288" w:lineRule="auto"/>
              <w:ind w:left="198" w:hanging="142"/>
              <w:widowControl/>
            </w:pPr>
            <w:r>
              <w:rPr>
                <w:rFonts w:ascii="맑은 고딕" w:hAnsi="맑은 고딕" w:eastAsia="맑은 고딕"/>
                <w:b/>
                <w:color w:val="4C8ED9"/>
                <w:sz w:val="19"/>
              </w:rPr>
              <w:t xml:space="preserve">• </w:t>
            </w:r>
            <w:r>
              <w:rPr>
                <w:rFonts w:ascii="맑은 고딕" w:hAnsi="맑은 고딕" w:eastAsia="맑은 고딕"/>
                <w:b w:val="0"/>
                <w:color w:val="203040"/>
                <w:sz w:val="19"/>
              </w:rPr>
              <w:t>정량 결과는 시장·기술·정책·표준화 자료와 교차해석하여 단순 통계가 아닌 전략적 의미를 도출하도록 설계함.</w:t>
            </w:r>
          </w:p>
        </w:tc>
      </w:tr>
    </w:tbl>
    <w:p>
      <w:pPr>
        <w:spacing w:after="0"/>
      </w:pPr>
    </w:p>
    <w:p>
      <w:r>
        <w:br w:type="page"/>
      </w:r>
    </w:p>
    <w:p>
      <w:pPr>
        <w:keepNext/>
        <w:spacing w:before="280" w:after="140"/>
        <w:pBdr>
          <w:bottom w:val="single" w:sz="14" w:space="3" w:color="4C8ED9"/>
        </w:pBdr>
      </w:pPr>
      <w:r>
        <w:rPr>
          <w:rFonts w:ascii="맑은 고딕" w:hAnsi="맑은 고딕" w:eastAsia="맑은 고딕"/>
          <w:b/>
          <w:color w:val="12314F"/>
          <w:sz w:val="32"/>
        </w:rPr>
        <w:t>2.1 본 장의 목적 및 전체 보고서 내 위치</w:t>
      </w:r>
    </w:p>
    <w:p>
      <w:pPr>
        <w:spacing w:before="0" w:after="100" w:line="324" w:lineRule="auto"/>
        <w:jc w:val="both"/>
        <w:widowControl/>
      </w:pPr>
      <w:r>
        <w:rPr>
          <w:rFonts w:ascii="맑은 고딕" w:hAnsi="맑은 고딕" w:eastAsia="맑은 고딕"/>
          <w:b w:val="0"/>
          <w:color w:val="203040"/>
          <w:sz w:val="20"/>
        </w:rPr>
        <w:t>본 장은 arXiv 양자 분야 논문 분석의 대상 범위, 검색식, 데이터 수집·정제 절차, 분석 단위, 지표 산식, 정성 근거의 반영 원칙을 정의하는 기준 장으로 작성함.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제3장 연구 규모·성장 분석에서 월별 활동 수준과 최근 모멘텀을 동일 기준으로 비교할 수 있도록 완전월 분석 원칙을 설정함.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제4장 분야·카테고리 분포 분석에서 국문명을 메인으로 사용하고 arXiv 영문 카테고리 코드·명칭을 괄호로 병기하도록 표준화함.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제5장 연구 주체 분석에서 저자·제1저자·기관을 구분하고, 국가 분석은 제1저자 국가 기준과 전체 기관 국가 기준의 두 축으로 수행하도록 정의함.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제6장 협업 구조 분석에서 공저·다기관·다국가 협력의 최소 판정 기준과 중복 집계 방식을 고정함.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제7장 종합 인사이트에서 정량 신호와 최신 시장·기술·정책·표준화 근거를 결합하여 실행 가능한 시사점으로 전환하도록 설계함.</w:t>
      </w:r>
    </w:p>
    <w:p>
      <w:pPr>
        <w:keepNext/>
        <w:spacing w:before="120" w:after="60" w:line="240" w:lineRule="auto"/>
        <w:jc w:val="left"/>
        <w:widowControl/>
      </w:pPr>
      <w:r>
        <w:rPr>
          <w:rFonts w:ascii="맑은 고딕" w:hAnsi="맑은 고딕" w:eastAsia="맑은 고딕"/>
          <w:b/>
          <w:color w:val="12314F"/>
          <w:sz w:val="19"/>
        </w:rPr>
        <w:t>표 2-1. 본 장의 정의 항목과 후속 장 연계</w:t>
      </w:r>
    </w:p>
    <w:tbl>
      <w:tblPr>
        <w:tblW w:type="auto" w:w="0"/>
        <w:jc w:val="center"/>
        <w:tblLayout w:type="fixed"/>
        <w:tblLook w:firstColumn="1" w:firstRow="1" w:lastColumn="0" w:lastRow="0" w:noHBand="0" w:noVBand="1" w:val="04A0"/>
      </w:tblPr>
      <w:tblGrid>
        <w:gridCol w:w="3515"/>
        <w:gridCol w:w="3515"/>
        <w:gridCol w:w="3515"/>
      </w:tblGrid>
      <w:tr>
        <w:trPr>
          <w:tblHeader w:val="true"/>
        </w:trPr>
        <w:tc>
          <w:tcPr>
            <w:tcW w:type="dxa" w:w="1814"/>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정의 항목</w:t>
            </w:r>
          </w:p>
        </w:tc>
        <w:tc>
          <w:tcPr>
            <w:tcW w:type="dxa" w:w="3572"/>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본 장의 역할</w:t>
            </w:r>
          </w:p>
        </w:tc>
        <w:tc>
          <w:tcPr>
            <w:tcW w:type="dxa" w:w="436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후속 장 연계</w:t>
            </w:r>
          </w:p>
        </w:tc>
      </w:tr>
      <w:tr>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분석 대상</w:t>
            </w:r>
          </w:p>
        </w:tc>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원자료와 수치 분석 DB를 구분하여 모집단을 확정함</w:t>
            </w:r>
          </w:p>
        </w:tc>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제3장~제6장 수치의 기준을 통일함</w:t>
            </w:r>
          </w:p>
        </w:tc>
      </w:tr>
      <w:tr>
        <w:tc>
          <w:tcPr>
            <w:tcW w:type="dxa" w:w="3515"/>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검색식</w:t>
            </w:r>
          </w:p>
        </w:tc>
        <w:tc>
          <w:tcPr>
            <w:tcW w:type="dxa" w:w="3515"/>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양자 기술 축과 응용·기능 축의 결합 범위를 제시함</w:t>
            </w:r>
          </w:p>
        </w:tc>
        <w:tc>
          <w:tcPr>
            <w:tcW w:type="dxa" w:w="3515"/>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제4장의 분야 포괄성과 노이즈를 해석함</w:t>
            </w:r>
          </w:p>
        </w:tc>
      </w:tr>
      <w:tr>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데이터 구축</w:t>
            </w:r>
          </w:p>
        </w:tc>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메타데이터·PDF·전문·참고문헌·기관·국가 정보를 통합함</w:t>
            </w:r>
          </w:p>
        </w:tc>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제5장·제6장의 연구 주체와 협업 분석을 지원함</w:t>
            </w:r>
          </w:p>
        </w:tc>
      </w:tr>
      <w:tr>
        <w:tc>
          <w:tcPr>
            <w:tcW w:type="dxa" w:w="3515"/>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지표 체계</w:t>
            </w:r>
          </w:p>
        </w:tc>
        <w:tc>
          <w:tcPr>
            <w:tcW w:type="dxa" w:w="3515"/>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활동·집중·주체·협업·품질 지표를 정의함</w:t>
            </w:r>
          </w:p>
        </w:tc>
        <w:tc>
          <w:tcPr>
            <w:tcW w:type="dxa" w:w="3515"/>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제3장~제7장의 비교·통합을 가능하게 함</w:t>
            </w:r>
          </w:p>
        </w:tc>
      </w:tr>
      <w:tr>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정성 근거</w:t>
            </w:r>
          </w:p>
        </w:tc>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시장·기술·정책·표준 자료의 위계와 활용 원칙을 설정함</w:t>
            </w:r>
          </w:p>
        </w:tc>
        <w:tc>
          <w:tcPr>
            <w:tcW w:type="dxa" w:w="3515"/>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제3장~제7장의 정량 결과를 외부 환경과 연결함</w:t>
            </w:r>
          </w:p>
        </w:tc>
      </w:tr>
    </w:tbl>
    <w:p>
      <w:pPr>
        <w:spacing w:after="0"/>
      </w:pPr>
    </w:p>
    <w:tbl>
      <w:tblPr>
        <w:tblW w:type="auto" w:w="0"/>
        <w:jc w:val="center"/>
        <w:tblLayout w:type="fixed"/>
        <w:tblLook w:firstColumn="1" w:firstRow="1" w:lastColumn="0" w:lastRow="0" w:noHBand="0" w:noVBand="1" w:val="04A0"/>
      </w:tblPr>
      <w:tblGrid>
        <w:gridCol w:w="10546"/>
      </w:tblGrid>
      <w:tr>
        <w:tc>
          <w:tcPr>
            <w:tcW w:type="dxa" w:w="10546"/>
            <w:shd w:fill="EAF5EF"/>
            <w:tcBorders>
              <w:top w:val="single" w:sz="8" w:color="55A884"/>
              <w:left w:val="single" w:sz="8" w:color="55A884"/>
              <w:bottom w:val="single" w:sz="8" w:color="55A884"/>
              <w:right w:val="single" w:sz="8" w:color="55A884"/>
            </w:tcBorders>
            <w:tcMar>
              <w:top w:w="120" w:type="dxa"/>
              <w:start w:w="160" w:type="dxa"/>
              <w:bottom w:w="120" w:type="dxa"/>
              <w:end w:w="160" w:type="dxa"/>
            </w:tcMar>
          </w:tcPr>
          <w:p>
            <w:pPr>
              <w:spacing w:before="0" w:after="80" w:line="300" w:lineRule="auto"/>
              <w:widowControl/>
            </w:pPr>
            <w:r>
              <w:rPr>
                <w:rFonts w:ascii="맑은 고딕" w:hAnsi="맑은 고딕" w:eastAsia="맑은 고딕"/>
                <w:b/>
                <w:color w:val="12314F"/>
                <w:sz w:val="22"/>
              </w:rPr>
              <w:t>핵심 방법론 원칙</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동일한 원천 논문 테이블을 분석 목적별로 재구성하되 모집단은 변경하지 않도록 관리함.</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수치의 크기만 제시하지 않고 발생 배경, 기술적 의미, 정책·산업 활용성과 함께 해석함.</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완전한 정보가 아닌 기관·국가 추론값은 커버리지와 한계를 병기하여 과도한 순위 해석을 방지함.</w:t>
            </w:r>
          </w:p>
        </w:tc>
      </w:tr>
    </w:tbl>
    <w:p>
      <w:pPr>
        <w:spacing w:after="0"/>
      </w:pPr>
    </w:p>
    <w:p>
      <w:pPr>
        <w:keepNext/>
        <w:spacing w:before="280" w:after="140"/>
        <w:pBdr>
          <w:bottom w:val="single" w:sz="14" w:space="3" w:color="4C8ED9"/>
        </w:pBdr>
      </w:pPr>
      <w:r>
        <w:rPr>
          <w:rFonts w:ascii="맑은 고딕" w:hAnsi="맑은 고딕" w:eastAsia="맑은 고딕"/>
          <w:b/>
          <w:color w:val="12314F"/>
          <w:sz w:val="32"/>
        </w:rPr>
        <w:t>2.2 분석 대상 데이터와 완전월 기준</w:t>
      </w:r>
    </w:p>
    <w:p>
      <w:pPr>
        <w:spacing w:before="0" w:after="100" w:line="324" w:lineRule="auto"/>
        <w:jc w:val="both"/>
        <w:widowControl/>
      </w:pPr>
      <w:r>
        <w:rPr>
          <w:rFonts w:ascii="맑은 고딕" w:hAnsi="맑은 고딕" w:eastAsia="맑은 고딕"/>
          <w:b w:val="0"/>
          <w:color w:val="203040"/>
          <w:sz w:val="20"/>
        </w:rPr>
        <w:t>분석 원자료는 코넬대학교가 제공하는 arXiv의 양자 관련 논문을 자동 수집한 데이터로 구성함. 원자료는 2026년 6월 6일까지 포함하나, 2026년 6월은 6일치만 포함된 부분월이므로 월별 비교와 성장률 산출에서는 제외함.</w:t>
      </w:r>
    </w:p>
    <w:p>
      <w:pPr>
        <w:keepNext/>
        <w:spacing w:before="120" w:after="60" w:line="240" w:lineRule="auto"/>
        <w:jc w:val="left"/>
        <w:widowControl/>
      </w:pPr>
      <w:r>
        <w:rPr>
          <w:rFonts w:ascii="맑은 고딕" w:hAnsi="맑은 고딕" w:eastAsia="맑은 고딕"/>
          <w:b/>
          <w:color w:val="12314F"/>
          <w:sz w:val="19"/>
        </w:rPr>
        <w:t>표 2-2. 수집 원자료와 수치 분석 DB의 구분</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587"/>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항목</w:t>
            </w:r>
          </w:p>
        </w:tc>
        <w:tc>
          <w:tcPr>
            <w:tcW w:type="dxa" w:w="226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수집 원자료</w:t>
            </w:r>
          </w:p>
        </w:tc>
        <w:tc>
          <w:tcPr>
            <w:tcW w:type="dxa" w:w="226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수치 분석 DB</w:t>
            </w:r>
          </w:p>
        </w:tc>
        <w:tc>
          <w:tcPr>
            <w:tcW w:type="dxa" w:w="351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적용 이유</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분석 기간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2025.06.06~2026.06.06</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2025.06~2026.05</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동일한 월 길이를 가진 완전 12개월을 비교함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논문 수</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2,427건</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2,400건</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2026년 6월 부분월 27건을 제외함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월 수</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13개월처럼 보이나 마지막 월은 부분월</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12개월</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평균·성장률·최근 모멘텀의 왜곡을 방지함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월평균</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186.7편</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200.0편</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부분월 포함으로 인한 인위적 평균 하락을 보정함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활용 목적</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원자료 보존·품질 점검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정량 분석·비교·통합 해석</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원자료와 분석용 DB의 역할을 분리함</w:t>
            </w:r>
          </w:p>
        </w:tc>
      </w:tr>
    </w:tbl>
    <w:p>
      <w:pPr>
        <w:spacing w:after="0"/>
      </w:pPr>
    </w:p>
    <w:p>
      <w:r>
        <w:drawing>
          <wp:inline xmlns:a="http://schemas.openxmlformats.org/drawingml/2006/main" xmlns:pic="http://schemas.openxmlformats.org/drawingml/2006/picture">
            <wp:extent cx="6156000" cy="1825146"/>
            <wp:docPr id="1" name="Picture 1"/>
            <wp:cNvGraphicFramePr>
              <a:graphicFrameLocks noChangeAspect="1"/>
            </wp:cNvGraphicFramePr>
            <a:graphic>
              <a:graphicData uri="http://schemas.openxmlformats.org/drawingml/2006/picture">
                <pic:pic>
                  <pic:nvPicPr>
                    <pic:cNvPr id="0" name="fig_2_1_period.png"/>
                    <pic:cNvPicPr/>
                  </pic:nvPicPr>
                  <pic:blipFill>
                    <a:blip r:embed="rId11"/>
                    <a:stretch>
                      <a:fillRect/>
                    </a:stretch>
                  </pic:blipFill>
                  <pic:spPr>
                    <a:xfrm>
                      <a:off x="0" y="0"/>
                      <a:ext cx="6156000" cy="1825146"/>
                    </a:xfrm>
                    <a:prstGeom prst="rect"/>
                  </pic:spPr>
                </pic:pic>
              </a:graphicData>
            </a:graphic>
          </wp:inline>
        </w:drawing>
      </w:r>
    </w:p>
    <w:p>
      <w:pPr>
        <w:spacing w:before="40" w:after="140" w:line="240" w:lineRule="auto"/>
        <w:jc w:val="center"/>
        <w:widowControl/>
      </w:pPr>
      <w:r>
        <w:rPr>
          <w:rFonts w:ascii="맑은 고딕" w:hAnsi="맑은 고딕" w:eastAsia="맑은 고딕"/>
          <w:b/>
          <w:color w:val="6C7884"/>
          <w:sz w:val="18"/>
        </w:rPr>
        <w:t>그림 2-1. 수집 원자료와 12개월 수치 분석 DB의 범위 조정</w:t>
      </w:r>
    </w:p>
    <w:p>
      <w:pPr>
        <w:spacing w:before="0" w:after="100" w:line="324" w:lineRule="auto"/>
        <w:jc w:val="both"/>
        <w:widowControl/>
      </w:pPr>
      <w:r>
        <w:rPr>
          <w:rFonts w:ascii="맑은 고딕" w:hAnsi="맑은 고딕" w:eastAsia="맑은 고딕"/>
          <w:b w:val="0"/>
          <w:color w:val="203040"/>
          <w:sz w:val="20"/>
        </w:rPr>
        <w:t>부분월 제외는 단순 편집 조치가 아니라 시계열 비교의 내적 타당성을 확보하는 핵심 통제 조건으로 적용함. 2026년 6월 27건을 포함할 경우 최근 연구량이 급감한 것처럼 보이는 착시가 발생하므로, 제3장의 월별 성장률과 최근 모멘텀뿐 아니라 제4장의 월별 카테고리 변화율에도 동일한 제외 기준을 적용함.</w:t>
      </w:r>
    </w:p>
    <w:p>
      <w:pPr>
        <w:keepNext/>
        <w:spacing w:before="280" w:after="140"/>
        <w:pBdr>
          <w:bottom w:val="single" w:sz="14" w:space="3" w:color="4C8ED9"/>
        </w:pBdr>
      </w:pPr>
      <w:r>
        <w:rPr>
          <w:rFonts w:ascii="맑은 고딕" w:hAnsi="맑은 고딕" w:eastAsia="맑은 고딕"/>
          <w:b/>
          <w:color w:val="12314F"/>
          <w:sz w:val="32"/>
        </w:rPr>
        <w:t>2.3 검색식 구조와 전략적 모집단</w:t>
      </w:r>
    </w:p>
    <w:p>
      <w:pPr>
        <w:spacing w:before="0" w:after="100" w:line="324" w:lineRule="auto"/>
        <w:jc w:val="both"/>
        <w:widowControl/>
      </w:pPr>
      <w:r>
        <w:rPr>
          <w:rFonts w:ascii="맑은 고딕" w:hAnsi="맑은 고딕" w:eastAsia="맑은 고딕"/>
          <w:b w:val="0"/>
          <w:color w:val="203040"/>
          <w:sz w:val="20"/>
        </w:rPr>
        <w:t>검색식은 제목(title) 필드에서 양자 기술 키워드와 응용·기능 키워드가 동시에 등장하는 논문을 선별하도록 설계함. 제목 기반 검색은 관련성이 명확한 코어 논문을 우선 확보하는 장점이 있으나, 초록·본문에서만 관련성이 확인되는 주변 논문은 누락될 수 있으므로 완전 모집단이 아닌 전략적 분석 모집단으로 해석함.</w:t>
      </w:r>
    </w:p>
    <w:tbl>
      <w:tblPr>
        <w:tblW w:type="auto" w:w="0"/>
        <w:jc w:val="center"/>
        <w:tblLayout w:type="fixed"/>
        <w:tblLook w:firstColumn="1" w:firstRow="1" w:lastColumn="0" w:lastRow="0" w:noHBand="0" w:noVBand="1" w:val="04A0"/>
      </w:tblPr>
      <w:tblGrid>
        <w:gridCol w:w="10546"/>
      </w:tblGrid>
      <w:tr>
        <w:tc>
          <w:tcPr>
            <w:tcW w:type="dxa" w:w="10546"/>
            <w:shd w:fill="F3F5F7"/>
            <w:tcBorders>
              <w:top w:val="single" w:sz="8" w:color="12314F"/>
              <w:left w:val="single" w:sz="8" w:color="12314F"/>
              <w:bottom w:val="single" w:sz="8" w:color="12314F"/>
              <w:right w:val="single" w:sz="8" w:color="12314F"/>
            </w:tcBorders>
            <w:tcMar>
              <w:top w:w="120" w:type="dxa"/>
              <w:start w:w="160" w:type="dxa"/>
              <w:bottom w:w="120" w:type="dxa"/>
              <w:end w:w="160" w:type="dxa"/>
            </w:tcMar>
          </w:tcPr>
          <w:p>
            <w:pPr>
              <w:spacing w:before="0" w:after="80" w:line="300" w:lineRule="auto"/>
              <w:widowControl/>
            </w:pPr>
            <w:r>
              <w:rPr>
                <w:rFonts w:ascii="맑은 고딕" w:hAnsi="맑은 고딕" w:eastAsia="맑은 고딕"/>
                <w:b/>
                <w:color w:val="12314F"/>
                <w:sz w:val="22"/>
              </w:rPr>
              <w:t>적용 검색식</w:t>
            </w:r>
          </w:p>
          <w:p>
            <w:pPr>
              <w:spacing w:before="0" w:after="40" w:line="288" w:lineRule="auto"/>
              <w:ind w:left="198" w:hanging="142"/>
              <w:widowControl/>
            </w:pPr>
            <w:r>
              <w:rPr>
                <w:rFonts w:ascii="맑은 고딕" w:hAnsi="맑은 고딕" w:eastAsia="맑은 고딕"/>
                <w:b/>
                <w:color w:val="12314F"/>
                <w:sz w:val="19"/>
              </w:rPr>
              <w:t xml:space="preserve">• </w:t>
            </w:r>
            <w:r>
              <w:rPr>
                <w:rFonts w:ascii="맑은 고딕" w:hAnsi="맑은 고딕" w:eastAsia="맑은 고딕"/>
                <w:b w:val="0"/>
                <w:color w:val="203040"/>
                <w:sz w:val="19"/>
              </w:rPr>
              <w:t>((((ti:QUANTUM OR ti:QUANTOMETER) OR ti:QUANTIZATION) AND (((((((((((((((ti:SENSOR OR ti:SENSING) OR ti:SENSE) OR ti:DETECT) OR ti:MEASUREMENT) OR ti:INERTIA) OR ti:TIME) OR ti:FREQUENCY) OR ti:"MAGNETIC FIELD") OR ti:"ELECTRIC FIELD") OR ti:"LIGHT BASED") OR ti:COMPUTER) OR ti:COMPUTING) OR ti:COMPUTATION) OR ti:COMPUTATIONAL) OR ti:COMMUNICATION))) AND (submittedDate:[202506060000 TO 202606062359])</w:t>
            </w:r>
          </w:p>
        </w:tc>
      </w:tr>
    </w:tbl>
    <w:p>
      <w:pPr>
        <w:spacing w:after="0"/>
      </w:pPr>
    </w:p>
    <w:p>
      <w:pPr>
        <w:keepNext/>
        <w:spacing w:before="120" w:after="60" w:line="240" w:lineRule="auto"/>
        <w:jc w:val="left"/>
        <w:widowControl/>
      </w:pPr>
      <w:r>
        <w:rPr>
          <w:rFonts w:ascii="맑은 고딕" w:hAnsi="맑은 고딕" w:eastAsia="맑은 고딕"/>
          <w:b/>
          <w:color w:val="12314F"/>
          <w:sz w:val="19"/>
        </w:rPr>
        <w:t>표 2-3. 검색 축별 키워드와 해석 범위</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587"/>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검색 축</w:t>
            </w:r>
          </w:p>
        </w:tc>
        <w:tc>
          <w:tcPr>
            <w:tcW w:type="dxa" w:w="238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대표 키워드</w:t>
            </w:r>
          </w:p>
        </w:tc>
        <w:tc>
          <w:tcPr>
            <w:tcW w:type="dxa" w:w="294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선별 의미</w:t>
            </w:r>
          </w:p>
        </w:tc>
        <w:tc>
          <w:tcPr>
            <w:tcW w:type="dxa" w:w="283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해석·보완 기준</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양자 기술</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QUANTUM, QUANTOMETER, QUANTIZATION</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양자기술 또는 양자화 개념이 제목에 명시된 논문을 선별함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QUANTIZATION의 신호처리·모델압축 노이즈를 후속 분류에서 점검함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센싱·계측</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SENSOR, SENSING, SENSE, DETECT, MEASUREMENT</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양자센서·검출·정밀측정 관련 논문을 포착함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양자물리(quant-ph), 광학(physics.optics), 응집물질 계열의 교차를 확인함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시간·주파수·전자기장</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TIME, FREQUENCY, MAGNETIC FIELD, ELECTRIC FIELD, INERTIA</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원자시계·주파수표준·자기장·전기장·관성 측정을 포함함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센싱 세부 기술군의 실질적 확장 축으로 해석함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컴퓨팅·통신</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COMPUTER, COMPUTING, COMPUTATION, COMPUTATIONAL, COMMUNICATION</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양자컴퓨팅·시뮬레이션·통신 관련 논문을 포함함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협의의 센싱 분석이 아닌 광의의 양자기술 생태계 분석으로 해석함</w:t>
            </w:r>
          </w:p>
        </w:tc>
      </w:tr>
    </w:tbl>
    <w:p>
      <w:pPr>
        <w:spacing w:after="0"/>
      </w:pPr>
    </w:p>
    <w:p>
      <w:r>
        <w:drawing>
          <wp:inline xmlns:a="http://schemas.openxmlformats.org/drawingml/2006/main" xmlns:pic="http://schemas.openxmlformats.org/drawingml/2006/picture">
            <wp:extent cx="6156000" cy="2345510"/>
            <wp:docPr id="2" name="Picture 2"/>
            <wp:cNvGraphicFramePr>
              <a:graphicFrameLocks noChangeAspect="1"/>
            </wp:cNvGraphicFramePr>
            <a:graphic>
              <a:graphicData uri="http://schemas.openxmlformats.org/drawingml/2006/picture">
                <pic:pic>
                  <pic:nvPicPr>
                    <pic:cNvPr id="0" name="fig_2_2_search.png"/>
                    <pic:cNvPicPr/>
                  </pic:nvPicPr>
                  <pic:blipFill>
                    <a:blip r:embed="rId12"/>
                    <a:stretch>
                      <a:fillRect/>
                    </a:stretch>
                  </pic:blipFill>
                  <pic:spPr>
                    <a:xfrm>
                      <a:off x="0" y="0"/>
                      <a:ext cx="6156000" cy="2345510"/>
                    </a:xfrm>
                    <a:prstGeom prst="rect"/>
                  </pic:spPr>
                </pic:pic>
              </a:graphicData>
            </a:graphic>
          </wp:inline>
        </w:drawing>
      </w:r>
    </w:p>
    <w:p>
      <w:pPr>
        <w:spacing w:before="40" w:after="140" w:line="240" w:lineRule="auto"/>
        <w:jc w:val="center"/>
        <w:widowControl/>
      </w:pPr>
      <w:r>
        <w:rPr>
          <w:rFonts w:ascii="맑은 고딕" w:hAnsi="맑은 고딕" w:eastAsia="맑은 고딕"/>
          <w:b/>
          <w:color w:val="6C7884"/>
          <w:sz w:val="18"/>
        </w:rPr>
        <w:t>그림 2-2. 양자 기술 축과 응용·기능 축의 결합 검색 논리</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정밀도 우선 방식으로 분석 코어를 구축하되, 후속 토픽모델링에서는 초록·PDF 전문을 활용하여 검색식 밖의 세부 기술어를 재탐색함.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검색식에 포함된 컴퓨팅·통신 키워드로 인해 양자물리(quant-ph) 외 암호·보안(cs.CR), 기계학습(cs.LG), 광학(physics.optics), 응집물질 계열이 포함될 수 있음을 전제로 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카테고리 명칭은 보고서에서 국문을 메인으로 표기하고 영문 코드 또는 영문명을 괄호로 병기함.</w:t>
      </w:r>
    </w:p>
    <w:p>
      <w:pPr>
        <w:keepNext/>
        <w:spacing w:before="280" w:after="140"/>
        <w:pBdr>
          <w:bottom w:val="single" w:sz="14" w:space="3" w:color="4C8ED9"/>
        </w:pBdr>
      </w:pPr>
      <w:r>
        <w:rPr>
          <w:rFonts w:ascii="맑은 고딕" w:hAnsi="맑은 고딕" w:eastAsia="맑은 고딕"/>
          <w:b/>
          <w:color w:val="12314F"/>
          <w:sz w:val="32"/>
        </w:rPr>
        <w:t>2.4 데이터 수집·정제·분석 DB 구축</w:t>
      </w:r>
    </w:p>
    <w:p>
      <w:pPr>
        <w:spacing w:before="0" w:after="100" w:line="324" w:lineRule="auto"/>
        <w:jc w:val="both"/>
        <w:widowControl/>
      </w:pPr>
      <w:r>
        <w:rPr>
          <w:rFonts w:ascii="맑은 고딕" w:hAnsi="맑은 고딕" w:eastAsia="맑은 고딕"/>
          <w:b w:val="0"/>
          <w:color w:val="203040"/>
          <w:sz w:val="20"/>
        </w:rPr>
        <w:t>데이터 구축은 검색식 설계, arXiv 메타데이터 수집, PDF 확보, 전문 텍스트 추출, 저자·기관·국가·카테고리 정비, 12개월 분석 DB 생성의 순서로 수행함. 논문 단위의 원천 테이블을 유지하면서 각 장의 목적에 맞게 월·카테고리·연구주체·협업 단위로 재구성함.</w:t>
      </w:r>
    </w:p>
    <w:p>
      <w:r>
        <w:drawing>
          <wp:inline xmlns:a="http://schemas.openxmlformats.org/drawingml/2006/main" xmlns:pic="http://schemas.openxmlformats.org/drawingml/2006/picture">
            <wp:extent cx="6156000" cy="2813143"/>
            <wp:docPr id="3" name="Picture 3"/>
            <wp:cNvGraphicFramePr>
              <a:graphicFrameLocks noChangeAspect="1"/>
            </wp:cNvGraphicFramePr>
            <a:graphic>
              <a:graphicData uri="http://schemas.openxmlformats.org/drawingml/2006/picture">
                <pic:pic>
                  <pic:nvPicPr>
                    <pic:cNvPr id="0" name="fig_2_3_pipeline.png"/>
                    <pic:cNvPicPr/>
                  </pic:nvPicPr>
                  <pic:blipFill>
                    <a:blip r:embed="rId13"/>
                    <a:stretch>
                      <a:fillRect/>
                    </a:stretch>
                  </pic:blipFill>
                  <pic:spPr>
                    <a:xfrm>
                      <a:off x="0" y="0"/>
                      <a:ext cx="6156000" cy="2813143"/>
                    </a:xfrm>
                    <a:prstGeom prst="rect"/>
                  </pic:spPr>
                </pic:pic>
              </a:graphicData>
            </a:graphic>
          </wp:inline>
        </w:drawing>
      </w:r>
    </w:p>
    <w:p>
      <w:pPr>
        <w:spacing w:before="40" w:after="140" w:line="240" w:lineRule="auto"/>
        <w:jc w:val="center"/>
        <w:widowControl/>
      </w:pPr>
      <w:r>
        <w:rPr>
          <w:rFonts w:ascii="맑은 고딕" w:hAnsi="맑은 고딕" w:eastAsia="맑은 고딕"/>
          <w:b/>
          <w:color w:val="6C7884"/>
          <w:sz w:val="18"/>
        </w:rPr>
        <w:t>그림 2-3. arXiv 양자 분야 논문 데이터 구축 및 분석 흐름</w:t>
      </w:r>
    </w:p>
    <w:p>
      <w:pPr>
        <w:keepNext/>
        <w:spacing w:before="120" w:after="60" w:line="240" w:lineRule="auto"/>
        <w:jc w:val="left"/>
        <w:widowControl/>
      </w:pPr>
      <w:r>
        <w:rPr>
          <w:rFonts w:ascii="맑은 고딕" w:hAnsi="맑은 고딕" w:eastAsia="맑은 고딕"/>
          <w:b/>
          <w:color w:val="12314F"/>
          <w:sz w:val="19"/>
        </w:rPr>
        <w:t>표 2-4. 데이터 구축 단계별 산출 정보와 후속 활용</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36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단계</w:t>
            </w:r>
          </w:p>
        </w:tc>
        <w:tc>
          <w:tcPr>
            <w:tcW w:type="dxa" w:w="283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주요 수행 내용</w:t>
            </w:r>
          </w:p>
        </w:tc>
        <w:tc>
          <w:tcPr>
            <w:tcW w:type="dxa" w:w="294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주요 산출 필드</w:t>
            </w:r>
          </w:p>
        </w:tc>
        <w:tc>
          <w:tcPr>
            <w:tcW w:type="dxa" w:w="283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후속 활용</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1. 검색식 설계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양자축과 응용·기능축을 AND 조건으로 결합함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검색식·기간 조건</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분석 범위와 노이즈 수준을 결정함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2. arXiv 수집</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제출일 기준 메타데이터를 자동 수집함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arXiv ID, 제목, 초록, 저자, 카테고리, DOI, URL</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제3장 연구량과 제4장 분야 분석의 기초자료로 활용함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3. PDF 확보</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논문별 PDF 파일과 경로·페이지 정보를 관리함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PDF 경로, 파일 크기, 페이지 수</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본문 분석 가능성과 품질상태를 확인함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4. 전문 추출</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본문·단어수·참고문헌 정보를 추출함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pdf_full_text, word_count, reference_count</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토픽모델링·성능지표·응용분야 추출 기반으로 활용함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5. 연구주체 정비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저자·기관명·국가 문자열을 정제하고 표준화 후보를 생성함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author_count, first_author, institutions, country fields</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제5장 연구주체와 제6장 협업 구조에 활용함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6. 분석 DB</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2026년 6월을 제외하고 분석 파생변수를 생성함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month, category set, collaboration flags</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제3장~제7장의 공통 모집단으로 적용함</w:t>
            </w:r>
          </w:p>
        </w:tc>
      </w:tr>
    </w:tbl>
    <w:p>
      <w:pPr>
        <w:spacing w:after="0"/>
      </w:pPr>
    </w:p>
    <w:p>
      <w:pPr>
        <w:keepNext/>
        <w:spacing w:before="280" w:after="140"/>
        <w:pBdr>
          <w:bottom w:val="single" w:sz="14" w:space="3" w:color="4C8ED9"/>
        </w:pBdr>
      </w:pPr>
      <w:r>
        <w:rPr>
          <w:rFonts w:ascii="맑은 고딕" w:hAnsi="맑은 고딕" w:eastAsia="맑은 고딕"/>
          <w:b/>
          <w:color w:val="12314F"/>
          <w:sz w:val="32"/>
        </w:rPr>
        <w:t>2.5 분석 DB의 구성과 데이터 커버리지</w:t>
      </w:r>
    </w:p>
    <w:p>
      <w:pPr>
        <w:spacing w:before="0" w:after="100" w:line="324" w:lineRule="auto"/>
        <w:jc w:val="both"/>
        <w:widowControl/>
      </w:pPr>
      <w:r>
        <w:rPr>
          <w:rFonts w:ascii="맑은 고딕" w:hAnsi="맑은 고딕" w:eastAsia="맑은 고딕"/>
          <w:b w:val="0"/>
          <w:color w:val="203040"/>
          <w:sz w:val="20"/>
        </w:rPr>
        <w:t>수치 분석 DB는 2,400건을 기준으로 구성하며, 메타데이터와 PDF 전문을 결합한 구조로 관리함. 제목·초록·카테고리·PDF 경로의 커버리지는 분석에 충분한 수준이며, 기관·국가 정보는 추출·추론 방식의 특성을 고려하여 커버리지와 표준화 상태를 함께 제시함.</w:t>
      </w:r>
    </w:p>
    <w:p>
      <w:pPr>
        <w:keepNext/>
        <w:spacing w:before="120" w:after="60" w:line="240" w:lineRule="auto"/>
        <w:jc w:val="left"/>
        <w:widowControl/>
      </w:pPr>
      <w:r>
        <w:rPr>
          <w:rFonts w:ascii="맑은 고딕" w:hAnsi="맑은 고딕" w:eastAsia="맑은 고딕"/>
          <w:b/>
          <w:color w:val="12314F"/>
          <w:sz w:val="19"/>
        </w:rPr>
        <w:t>표 2-5. 분석 DB의 주요 품질·커버리지 지표</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70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구분</w:t>
            </w:r>
          </w:p>
        </w:tc>
        <w:tc>
          <w:tcPr>
            <w:tcW w:type="dxa" w:w="204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확보 수준</w:t>
            </w:r>
          </w:p>
        </w:tc>
        <w:tc>
          <w:tcPr>
            <w:tcW w:type="dxa" w:w="345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해석</w:t>
            </w:r>
          </w:p>
        </w:tc>
        <w:tc>
          <w:tcPr>
            <w:tcW w:type="dxa" w:w="294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적용 기준</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분석 논문</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2,400건</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2025.06~2026.05 완전 12개월 기준으로 확정함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모든 정량 분석의 분모로 사용함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PDF 전문 텍스트</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2,397건·99.88%</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본문 기반 텍스트마이닝 확장성이 매우 높게 확보됨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실패 3건은 별도 재처리 대상으로 관리함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참고문헌 수</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약 96.29%</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연구 기반·지식 흐름 분석이 가능한 수준으로 보임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추출 실패·과소추출 여부를 샘플 검증함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기관명</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약 94.50%</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연구기관 분석 기반을 확보하였으나 표기 변형이 혼재함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기관 표준화 전 순위는 탐색 신호로 해석함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DOI</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약 16.13%</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프리프린트 데이터의 특성상 낮은 비율이 자연스러움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품질·성숙도의 절대 지표로 사용하지 않음</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제1저자 국가</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1,951건·81.3%</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연구 주도 축을 파악하는 국가 기준으로 활용함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제1저자 소속기관의 국가를 기준으로 집계함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전체 기관 국가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1,998건·83.3%</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모든 저자 소속기관의 참여 범위를 반영함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논문별 동일 국가는 1회만 집계함</w:t>
            </w:r>
          </w:p>
        </w:tc>
      </w:tr>
    </w:tbl>
    <w:p>
      <w:pPr>
        <w:spacing w:after="0"/>
      </w:pPr>
    </w:p>
    <w:tbl>
      <w:tblPr>
        <w:tblW w:type="auto" w:w="0"/>
        <w:jc w:val="center"/>
        <w:tblLayout w:type="fixed"/>
        <w:tblLook w:firstColumn="1" w:firstRow="1" w:lastColumn="0" w:lastRow="0" w:noHBand="0" w:noVBand="1" w:val="04A0"/>
      </w:tblPr>
      <w:tblGrid>
        <w:gridCol w:w="10546"/>
      </w:tblGrid>
      <w:tr>
        <w:tc>
          <w:tcPr>
            <w:tcW w:type="dxa" w:w="10546"/>
            <w:shd w:fill="FFF8DE"/>
            <w:tcBorders>
              <w:top w:val="single" w:sz="8" w:color="E99B4C"/>
              <w:left w:val="single" w:sz="8" w:color="E99B4C"/>
              <w:bottom w:val="single" w:sz="8" w:color="E99B4C"/>
              <w:right w:val="single" w:sz="8" w:color="E99B4C"/>
            </w:tcBorders>
            <w:tcMar>
              <w:top w:w="120" w:type="dxa"/>
              <w:start w:w="160" w:type="dxa"/>
              <w:bottom w:w="120" w:type="dxa"/>
              <w:end w:w="160" w:type="dxa"/>
            </w:tcMar>
          </w:tcPr>
          <w:p>
            <w:pPr>
              <w:spacing w:before="0" w:after="80" w:line="300" w:lineRule="auto"/>
              <w:widowControl/>
            </w:pPr>
            <w:r>
              <w:rPr>
                <w:rFonts w:ascii="맑은 고딕" w:hAnsi="맑은 고딕" w:eastAsia="맑은 고딕"/>
                <w:b/>
                <w:color w:val="12314F"/>
                <w:sz w:val="22"/>
              </w:rPr>
              <w:t>커버리지 해석 원칙</w:t>
            </w:r>
          </w:p>
          <w:p>
            <w:pPr>
              <w:spacing w:before="0" w:after="40" w:line="288" w:lineRule="auto"/>
              <w:ind w:left="198" w:hanging="142"/>
              <w:widowControl/>
            </w:pPr>
            <w:r>
              <w:rPr>
                <w:rFonts w:ascii="맑은 고딕" w:hAnsi="맑은 고딕" w:eastAsia="맑은 고딕"/>
                <w:b/>
                <w:color w:val="E99B4C"/>
                <w:sz w:val="19"/>
              </w:rPr>
              <w:t xml:space="preserve">• </w:t>
            </w:r>
            <w:r>
              <w:rPr>
                <w:rFonts w:ascii="맑은 고딕" w:hAnsi="맑은 고딕" w:eastAsia="맑은 고딕"/>
                <w:b w:val="0"/>
                <w:color w:val="203040"/>
                <w:sz w:val="19"/>
              </w:rPr>
              <w:t>PDF 확보율과 전문 추출률을 구분하여 파일 수집 성공과 텍스트 분석 성공을 별도로 관리함.</w:t>
            </w:r>
          </w:p>
          <w:p>
            <w:pPr>
              <w:spacing w:before="0" w:after="40" w:line="288" w:lineRule="auto"/>
              <w:ind w:left="198" w:hanging="142"/>
              <w:widowControl/>
            </w:pPr>
            <w:r>
              <w:rPr>
                <w:rFonts w:ascii="맑은 고딕" w:hAnsi="맑은 고딕" w:eastAsia="맑은 고딕"/>
                <w:b/>
                <w:color w:val="E99B4C"/>
                <w:sz w:val="19"/>
              </w:rPr>
              <w:t xml:space="preserve">• </w:t>
            </w:r>
            <w:r>
              <w:rPr>
                <w:rFonts w:ascii="맑은 고딕" w:hAnsi="맑은 고딕" w:eastAsia="맑은 고딕"/>
                <w:b w:val="0"/>
                <w:color w:val="203040"/>
                <w:sz w:val="19"/>
              </w:rPr>
              <w:t>DOI 미보유를 낮은 연구 품질로 해석하지 않고 arXiv의 조기 공개 특성을 반영함.</w:t>
            </w:r>
          </w:p>
          <w:p>
            <w:pPr>
              <w:spacing w:before="0" w:after="40" w:line="288" w:lineRule="auto"/>
              <w:ind w:left="198" w:hanging="142"/>
              <w:widowControl/>
            </w:pPr>
            <w:r>
              <w:rPr>
                <w:rFonts w:ascii="맑은 고딕" w:hAnsi="맑은 고딕" w:eastAsia="맑은 고딕"/>
                <w:b/>
                <w:color w:val="E99B4C"/>
                <w:sz w:val="19"/>
              </w:rPr>
              <w:t xml:space="preserve">• </w:t>
            </w:r>
            <w:r>
              <w:rPr>
                <w:rFonts w:ascii="맑은 고딕" w:hAnsi="맑은 고딕" w:eastAsia="맑은 고딕"/>
                <w:b w:val="0"/>
                <w:color w:val="203040"/>
                <w:sz w:val="19"/>
              </w:rPr>
              <w:t>기관명·국가 값은 명시적 소속정보, 문자열 추출, 도메인 추론 등 생성 경로를 구분하여 신뢰등급화할 필요가 있음.</w:t>
            </w:r>
          </w:p>
        </w:tc>
      </w:tr>
    </w:tbl>
    <w:p>
      <w:pPr>
        <w:spacing w:after="0"/>
      </w:pPr>
    </w:p>
    <w:p>
      <w:pPr>
        <w:keepNext/>
        <w:spacing w:before="280" w:after="140"/>
        <w:pBdr>
          <w:bottom w:val="single" w:sz="14" w:space="3" w:color="4C8ED9"/>
        </w:pBdr>
      </w:pPr>
      <w:r>
        <w:rPr>
          <w:rFonts w:ascii="맑은 고딕" w:hAnsi="맑은 고딕" w:eastAsia="맑은 고딕"/>
          <w:b/>
          <w:color w:val="12314F"/>
          <w:sz w:val="32"/>
        </w:rPr>
        <w:t>2.6 분석 단위와 핵심 지표 체계</w:t>
      </w:r>
    </w:p>
    <w:p>
      <w:pPr>
        <w:spacing w:before="0" w:after="100" w:line="324" w:lineRule="auto"/>
        <w:jc w:val="both"/>
        <w:widowControl/>
      </w:pPr>
      <w:r>
        <w:rPr>
          <w:rFonts w:ascii="맑은 고딕" w:hAnsi="맑은 고딕" w:eastAsia="맑은 고딕"/>
          <w:b w:val="0"/>
          <w:color w:val="203040"/>
          <w:sz w:val="20"/>
        </w:rPr>
        <w:t>논문 단위를 기본키로 유지하되 분석 질문에 따라 월, 카테고리, 저자, 기관, 국가, 협업 단위로 재구성함. 지표는 각 장에서 독립적으로 설명 가능하면서 제7장의 종합 분석에서 결합할 수 있도록 설계함.</w:t>
      </w:r>
    </w:p>
    <w:p>
      <w:pPr>
        <w:keepNext/>
        <w:spacing w:before="120" w:after="60" w:line="240" w:lineRule="auto"/>
        <w:jc w:val="left"/>
        <w:widowControl/>
      </w:pPr>
      <w:r>
        <w:rPr>
          <w:rFonts w:ascii="맑은 고딕" w:hAnsi="맑은 고딕" w:eastAsia="맑은 고딕"/>
          <w:b/>
          <w:color w:val="12314F"/>
          <w:sz w:val="19"/>
        </w:rPr>
        <w:t>표 2-6. 장별 분석 단위·핵심 지표·해석 목적</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757"/>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분석 축</w:t>
            </w:r>
          </w:p>
        </w:tc>
        <w:tc>
          <w:tcPr>
            <w:tcW w:type="dxa" w:w="209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분석 단위</w:t>
            </w:r>
          </w:p>
        </w:tc>
        <w:tc>
          <w:tcPr>
            <w:tcW w:type="dxa" w:w="3572"/>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핵심 지표</w:t>
            </w:r>
          </w:p>
        </w:tc>
        <w:tc>
          <w:tcPr>
            <w:tcW w:type="dxa" w:w="272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해석 목적</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연구 규모·성장</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월·반기·최근 3개월</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논문 수, 월평균, 중앙값, 증감률, 이동평균, 변동계수</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연구 활동의 안정성·성장 모멘텀·피크 구간을 판단함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분야·카테고리</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주 카테고리·전체 카테고리·교차쌍</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논문 수, 비중, 복수 카테고리율, HHI, 교차강도</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양자물리 코어와 융합 확장축을 식별함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연구 주체</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저자·제1저자·기관·국가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고유 수, 상위 비중, 롱테일, 국가별 건수·점유율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연구 저변과 허브 주체, 국가별 주도·참여 구조를 파악함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협업 구조</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공저 규모·기관쌍·국가쌍</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공동저자율, 평균 저자 수, 다기관율, 국제협력률</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연구 생태계의 팀 연구·개방성·협력 방식을 해석함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정성 통합</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시장·기술·정책·표준 근거</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정량 신호와 외부 환경의 부합·차이·선행성</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연구 변화의 배경과 전략적 활용성을 검증함</w:t>
            </w:r>
          </w:p>
        </w:tc>
      </w:tr>
    </w:tbl>
    <w:p>
      <w:pPr>
        <w:spacing w:after="0"/>
      </w:pPr>
    </w:p>
    <w:p>
      <w:pPr>
        <w:keepNext/>
        <w:spacing w:before="200" w:after="80"/>
      </w:pPr>
      <w:r>
        <w:rPr>
          <w:rFonts w:ascii="맑은 고딕" w:hAnsi="맑은 고딕" w:eastAsia="맑은 고딕"/>
          <w:b/>
          <w:color w:val="12314F"/>
          <w:sz w:val="25"/>
        </w:rPr>
        <w:t>2.6.1 연구 주체의 국가 분석 이중 기준</w:t>
      </w:r>
    </w:p>
    <w:p>
      <w:pPr>
        <w:spacing w:before="0" w:after="100" w:line="324" w:lineRule="auto"/>
        <w:jc w:val="both"/>
        <w:widowControl/>
      </w:pPr>
      <w:r>
        <w:rPr>
          <w:rFonts w:ascii="맑은 고딕" w:hAnsi="맑은 고딕" w:eastAsia="맑은 고딕"/>
          <w:b w:val="0"/>
          <w:color w:val="203040"/>
          <w:sz w:val="20"/>
        </w:rPr>
        <w:t>국가별 연구역량은 한 가지 기준만으로 해석할 경우 주도성과 참여범위가 혼재될 수 있으므로 제1저자 국가 기준과 전체 기관 국가 기준을 병렬 적용함.</w:t>
      </w:r>
    </w:p>
    <w:p>
      <w:pPr>
        <w:keepNext/>
        <w:spacing w:before="120" w:after="60" w:line="240" w:lineRule="auto"/>
        <w:jc w:val="left"/>
        <w:widowControl/>
      </w:pPr>
      <w:r>
        <w:rPr>
          <w:rFonts w:ascii="맑은 고딕" w:hAnsi="맑은 고딕" w:eastAsia="맑은 고딕"/>
          <w:b/>
          <w:color w:val="12314F"/>
          <w:sz w:val="19"/>
        </w:rPr>
        <w:t>표 2-7. 국가 분석의 두 가지 기준</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204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기준</w:t>
            </w:r>
          </w:p>
        </w:tc>
        <w:tc>
          <w:tcPr>
            <w:tcW w:type="dxa" w:w="300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집계 방식</w:t>
            </w:r>
          </w:p>
        </w:tc>
        <w:tc>
          <w:tcPr>
            <w:tcW w:type="dxa" w:w="283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주요 의미</w:t>
            </w:r>
          </w:p>
        </w:tc>
        <w:tc>
          <w:tcPr>
            <w:tcW w:type="dxa" w:w="243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7"/>
              </w:rPr>
              <w:t>유의점</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제1저자 국가 기준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논문의 제1저자 소속기관 국가를 1건으로 집계함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연구 의제의 주도·대표 축을 파악함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제1저자가 실제 연구 책임자와 다를 수 있으며 미확인 소속을 제외함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7"/>
              </w:rPr>
              <w:t>전체 기관 국가 기준</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7"/>
              </w:rPr>
              <w:t>모든 저자 소속기관의 국가를 추출하고 논문별 동일 국가는 1회 집계함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국가별 참여 범위와 국제 연결성을 파악함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7"/>
              </w:rPr>
              <w:t>다국가 논문은 여러 국가에 각각 1건씩 반영되어 합계가 논문 수를 초과함</w:t>
            </w:r>
          </w:p>
        </w:tc>
      </w:tr>
    </w:tbl>
    <w:p>
      <w:pPr>
        <w:spacing w:after="0"/>
      </w:pP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저자 그래프에 이름을 표기할 경우 ‘저자명 (국가)’ 형식을 적용하며, 괄호의 국가는 소속기관에서 확인된 연구 수행 국가로 표기함.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국가 정보가 확인되지 않은 저자는 ‘저자명 (미확인)’으로 표시하여 국적과 연구 수행 국가가 혼동되지 않도록 관리함.</w:t>
      </w:r>
    </w:p>
    <w:p>
      <w:pPr>
        <w:keepNext/>
        <w:spacing w:before="280" w:after="140"/>
        <w:pBdr>
          <w:bottom w:val="single" w:sz="14" w:space="3" w:color="4C8ED9"/>
        </w:pBdr>
      </w:pPr>
      <w:r>
        <w:rPr>
          <w:rFonts w:ascii="맑은 고딕" w:hAnsi="맑은 고딕" w:eastAsia="맑은 고딕"/>
          <w:b/>
          <w:color w:val="12314F"/>
          <w:sz w:val="32"/>
        </w:rPr>
        <w:t>2.7 정량·정성 통합 분석 방법</w:t>
      </w:r>
    </w:p>
    <w:p>
      <w:pPr>
        <w:spacing w:before="0" w:after="100" w:line="324" w:lineRule="auto"/>
        <w:jc w:val="both"/>
        <w:widowControl/>
      </w:pPr>
      <w:r>
        <w:rPr>
          <w:rFonts w:ascii="맑은 고딕" w:hAnsi="맑은 고딕" w:eastAsia="맑은 고딕"/>
          <w:b w:val="0"/>
          <w:color w:val="203040"/>
          <w:sz w:val="20"/>
        </w:rPr>
        <w:t>본 보고서는 정량 지표의 크기와 순위를 제시하는 데 그치지 않고, 시장 수요, 기술 성숙도, 국가정책, 표준화·보안 전환이 연구활동에 제공하는 외부 자극을 함께 검토함. 정성 분석은 정량 결과를 정당화하기 위한 부연이 아니라 정량 신호의 원인·지속 가능성·전략적 의미를 검증하는 절차로 적용함.</w:t>
      </w:r>
    </w:p>
    <w:p>
      <w:r>
        <w:drawing>
          <wp:inline xmlns:a="http://schemas.openxmlformats.org/drawingml/2006/main" xmlns:pic="http://schemas.openxmlformats.org/drawingml/2006/picture">
            <wp:extent cx="6156000" cy="2757455"/>
            <wp:docPr id="4" name="Picture 4"/>
            <wp:cNvGraphicFramePr>
              <a:graphicFrameLocks noChangeAspect="1"/>
            </wp:cNvGraphicFramePr>
            <a:graphic>
              <a:graphicData uri="http://schemas.openxmlformats.org/drawingml/2006/picture">
                <pic:pic>
                  <pic:nvPicPr>
                    <pic:cNvPr id="0" name="fig_2_4_framework.png"/>
                    <pic:cNvPicPr/>
                  </pic:nvPicPr>
                  <pic:blipFill>
                    <a:blip r:embed="rId14"/>
                    <a:stretch>
                      <a:fillRect/>
                    </a:stretch>
                  </pic:blipFill>
                  <pic:spPr>
                    <a:xfrm>
                      <a:off x="0" y="0"/>
                      <a:ext cx="6156000" cy="2757455"/>
                    </a:xfrm>
                    <a:prstGeom prst="rect"/>
                  </pic:spPr>
                </pic:pic>
              </a:graphicData>
            </a:graphic>
          </wp:inline>
        </w:drawing>
      </w:r>
    </w:p>
    <w:p>
      <w:pPr>
        <w:spacing w:before="40" w:after="140" w:line="240" w:lineRule="auto"/>
        <w:jc w:val="center"/>
        <w:widowControl/>
      </w:pPr>
      <w:r>
        <w:rPr>
          <w:rFonts w:ascii="맑은 고딕" w:hAnsi="맑은 고딕" w:eastAsia="맑은 고딕"/>
          <w:b/>
          <w:color w:val="6C7884"/>
          <w:sz w:val="18"/>
        </w:rPr>
        <w:t>그림 2-4. 정량 분석과 시장·기술·정책·표준화 근거의 통합 프레임</w:t>
      </w:r>
    </w:p>
    <w:p>
      <w:pPr>
        <w:keepNext/>
        <w:spacing w:before="120" w:after="60" w:line="240" w:lineRule="auto"/>
        <w:jc w:val="left"/>
        <w:widowControl/>
      </w:pPr>
      <w:r>
        <w:rPr>
          <w:rFonts w:ascii="맑은 고딕" w:hAnsi="맑은 고딕" w:eastAsia="맑은 고딕"/>
          <w:b/>
          <w:color w:val="12314F"/>
          <w:sz w:val="19"/>
        </w:rPr>
        <w:t>표 2-8. 정량 분석 축별 정성 근거의 결합 방식</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70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정량 분석 축</w:t>
            </w:r>
          </w:p>
        </w:tc>
        <w:tc>
          <w:tcPr>
            <w:tcW w:type="dxa" w:w="289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연결할 정성 근거</w:t>
            </w:r>
          </w:p>
        </w:tc>
        <w:tc>
          <w:tcPr>
            <w:tcW w:type="dxa" w:w="351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통합 해석 질문</w:t>
            </w:r>
          </w:p>
        </w:tc>
        <w:tc>
          <w:tcPr>
            <w:tcW w:type="dxa" w:w="260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대표 참고자료</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연구 규모·성장</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시장 투자, 기업 채택, 국가 예산·조달, 장기 기술로드맵</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월 200편 내외의 연구량이 일시적 관심인지 구조적 파이프라인인지 검증함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McKinsey QTM 2026 [R6], NQI FY2025 [R2], UK Strategy [R5]</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분야·카테고리</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오류정정, PQC, QKD, 양자센싱·측정·시험표준</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교차 카테고리가 실제 기술·표준 이슈와 연결되는지 확인함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NIST PQC [R1], Google QEC [R12], IEC/ISO JTC 3 [R38], ITU-T [R39]</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연구 주체</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국가전략, 연구인프라, 산업생태계, 인력정책</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상위 국가·기관의 집중이 정책·인프라와 부합하는지 검토함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EU Strategy [R18], UK Strategy [R5], 한국 양자종합계획 [R23]</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협업 구조</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국제 공동프로그램, 표준화 컨소시엄, 공급망·실증 네트워크</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다기관·국제협력이 기술 융합·표준화 구조와 연결되는지 평가함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Quantum Flagship SRIA [R4], GSMA PQC [R9], DARPA QBI [R14]</w:t>
            </w:r>
          </w:p>
        </w:tc>
      </w:tr>
    </w:tbl>
    <w:p>
      <w:pPr>
        <w:spacing w:after="0"/>
      </w:pPr>
    </w:p>
    <w:p>
      <w:pPr>
        <w:keepNext/>
        <w:spacing w:before="200" w:after="80"/>
      </w:pPr>
      <w:r>
        <w:rPr>
          <w:rFonts w:ascii="맑은 고딕" w:hAnsi="맑은 고딕" w:eastAsia="맑은 고딕"/>
          <w:b/>
          <w:color w:val="12314F"/>
          <w:sz w:val="25"/>
        </w:rPr>
        <w:t>2.7.1 정성 근거의 선택·검증 원칙</w:t>
      </w:r>
    </w:p>
    <w:p>
      <w:r>
        <w:drawing>
          <wp:inline xmlns:a="http://schemas.openxmlformats.org/drawingml/2006/main" xmlns:pic="http://schemas.openxmlformats.org/drawingml/2006/picture">
            <wp:extent cx="6156000" cy="2448497"/>
            <wp:docPr id="5" name="Picture 5"/>
            <wp:cNvGraphicFramePr>
              <a:graphicFrameLocks noChangeAspect="1"/>
            </wp:cNvGraphicFramePr>
            <a:graphic>
              <a:graphicData uri="http://schemas.openxmlformats.org/drawingml/2006/picture">
                <pic:pic>
                  <pic:nvPicPr>
                    <pic:cNvPr id="0" name="fig_2_5_evidence.png"/>
                    <pic:cNvPicPr/>
                  </pic:nvPicPr>
                  <pic:blipFill>
                    <a:blip r:embed="rId15"/>
                    <a:stretch>
                      <a:fillRect/>
                    </a:stretch>
                  </pic:blipFill>
                  <pic:spPr>
                    <a:xfrm>
                      <a:off x="0" y="0"/>
                      <a:ext cx="6156000" cy="2448497"/>
                    </a:xfrm>
                    <a:prstGeom prst="rect"/>
                  </pic:spPr>
                </pic:pic>
              </a:graphicData>
            </a:graphic>
          </wp:inline>
        </w:drawing>
      </w:r>
    </w:p>
    <w:p>
      <w:pPr>
        <w:spacing w:before="40" w:after="140" w:line="240" w:lineRule="auto"/>
        <w:jc w:val="center"/>
        <w:widowControl/>
      </w:pPr>
      <w:r>
        <w:rPr>
          <w:rFonts w:ascii="맑은 고딕" w:hAnsi="맑은 고딕" w:eastAsia="맑은 고딕"/>
          <w:b/>
          <w:color w:val="6C7884"/>
          <w:sz w:val="18"/>
        </w:rPr>
        <w:t>그림 2-5. 정성 근거자료의 위계와 해석 통제</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정부·국제표준기관 자료는 정책방향, 예산, 표준화 일정, 전환 기준의 핵심 1차 근거로 활용함.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동료평가 논문과 DARPA 등 독립 검증 프로그램은 오류정정·확장성·벤치마크의 기술 성숙도 판단에 활용함.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시장·산업 전망은 기관별 가정이 다르므로 단일 수치를 확정값으로 사용하지 않고 복수 전망의 공통 방향과 범위를 비교함.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기업 로드맵은 목표·투자·플랫폼 전략의 신호로 활용하되 이미 달성된 성과와 구분하고 외부 검증자료를 병행함.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정량 신호와 외부 자료가 불일치할 경우 정량 결과를 폐기하지 않고 검색식 범위, 시차, 정책 집행 지연, 분류체계 차이를 대안 가설로 검토함.</w:t>
      </w:r>
    </w:p>
    <w:p>
      <w:pPr>
        <w:keepNext/>
        <w:spacing w:before="280" w:after="140"/>
        <w:pBdr>
          <w:bottom w:val="single" w:sz="14" w:space="3" w:color="4C8ED9"/>
        </w:pBdr>
      </w:pPr>
      <w:r>
        <w:rPr>
          <w:rFonts w:ascii="맑은 고딕" w:hAnsi="맑은 고딕" w:eastAsia="맑은 고딕"/>
          <w:b/>
          <w:color w:val="12314F"/>
          <w:sz w:val="32"/>
        </w:rPr>
        <w:t>2.8 주요 지표의 산식과 판정 기준</w:t>
      </w:r>
    </w:p>
    <w:p>
      <w:pPr>
        <w:spacing w:before="0" w:after="100" w:line="324" w:lineRule="auto"/>
        <w:jc w:val="both"/>
        <w:widowControl/>
      </w:pPr>
      <w:r>
        <w:rPr>
          <w:rFonts w:ascii="맑은 고딕" w:hAnsi="맑은 고딕" w:eastAsia="맑은 고딕"/>
          <w:b w:val="0"/>
          <w:color w:val="203040"/>
          <w:sz w:val="20"/>
        </w:rPr>
        <w:t>지표는 재현성과 장간 일관성을 확보하기 위해 분모, 중복 허용 여부, 결측 처리 기준을 명시함. 비율 지표는 원칙적으로 2,400건을 분모로 사용하되 기관·국가 등 정보 미확인 건이 존재하는 분석은 유효값 기준과 전체 모집단 기준을 함께 제시함.</w:t>
      </w:r>
    </w:p>
    <w:p>
      <w:pPr>
        <w:keepNext/>
        <w:spacing w:before="120" w:after="60" w:line="240" w:lineRule="auto"/>
        <w:jc w:val="left"/>
        <w:widowControl/>
      </w:pPr>
      <w:r>
        <w:rPr>
          <w:rFonts w:ascii="맑은 고딕" w:hAnsi="맑은 고딕" w:eastAsia="맑은 고딕"/>
          <w:b/>
          <w:color w:val="12314F"/>
          <w:sz w:val="19"/>
        </w:rPr>
        <w:t>표 2-9. 핵심 정량 지표의 정의·산식·해석</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70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지표</w:t>
            </w:r>
          </w:p>
        </w:tc>
        <w:tc>
          <w:tcPr>
            <w:tcW w:type="dxa" w:w="351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산식·집계 방식</w:t>
            </w:r>
          </w:p>
        </w:tc>
        <w:tc>
          <w:tcPr>
            <w:tcW w:type="dxa" w:w="294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해석</w:t>
            </w:r>
          </w:p>
        </w:tc>
        <w:tc>
          <w:tcPr>
            <w:tcW w:type="dxa" w:w="238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검증 포인트</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월별 논문 수</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제출월별 논문 건수 Mₜ</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연구 활동의 절대 규모를 나타냄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부분월·중복 버전을 제외함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전후반기 증감률</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(후반기 논문 수−전반기 논문 수)÷전반기×100</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최근 6개월의 구조적 증가·감소 방향을 비교함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각 구간을 동일한 6개월로 구성함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복수 카테고리 비율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카테고리 2개 이상 논문 수÷전체 논문 수×100</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융합·교차 연구의 확장성을 나타냄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주 카테고리와 전체 카테고리를 구분함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HHI 집중도</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Σ(분야 또는 국가 점유율×100)²</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상위 분야·국가의 집중 정도를 비교함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집계기준이 다른 HHI는 직접 비교하지 않음</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공동저자율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저자 2명 이상 논문 수÷전체 논문 수×100</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팀 기반 연구의 보편성을 나타냄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저자 파싱 오류와 컨소시엄 저자를 점검함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다기관 연구 비율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고유 기관 2개 이상 논문 수÷전체 논문 수×100</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기관 간 협업의 확산 정도를 나타냄</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기관명 표준화 전후 값을 비교함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국제협력률</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기관 국가 2개 이상 논문 수÷전체 논문 수×100</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국경을 넘는 공동연구의 개방성을 나타냄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국가 미확인 논문의 영향을 병기함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커버리지</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비결측 유효 건수÷전체 논문 수×100</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지표의 신뢰 가능한 적용 범위를 나타냄</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결측·추론·표준화 단계를 분리함</w:t>
            </w:r>
          </w:p>
        </w:tc>
      </w:tr>
    </w:tbl>
    <w:p>
      <w:pPr>
        <w:spacing w:after="0"/>
      </w:pPr>
    </w:p>
    <w:p>
      <w:pPr>
        <w:keepNext/>
        <w:spacing w:before="280" w:after="140"/>
        <w:pBdr>
          <w:bottom w:val="single" w:sz="14" w:space="3" w:color="4C8ED9"/>
        </w:pBdr>
      </w:pPr>
      <w:r>
        <w:rPr>
          <w:rFonts w:ascii="맑은 고딕" w:hAnsi="맑은 고딕" w:eastAsia="맑은 고딕"/>
          <w:b/>
          <w:color w:val="12314F"/>
          <w:sz w:val="32"/>
        </w:rPr>
        <w:t>2.9 품질관리와 방법론상 제한사항</w:t>
      </w:r>
    </w:p>
    <w:p>
      <w:pPr>
        <w:spacing w:before="0" w:after="100" w:line="324" w:lineRule="auto"/>
        <w:jc w:val="both"/>
        <w:widowControl/>
      </w:pPr>
      <w:r>
        <w:rPr>
          <w:rFonts w:ascii="맑은 고딕" w:hAnsi="맑은 고딕" w:eastAsia="맑은 고딕"/>
          <w:b w:val="0"/>
          <w:color w:val="203040"/>
          <w:sz w:val="20"/>
        </w:rPr>
        <w:t>분석 결과의 신뢰도를 높이기 위해 수집·정제·집계·시각화 단계별 점검 기준을 적용함. 검색식의 장점과 한계를 동시에 명시하고, 기관·국가·PDF 추출처럼 자동화 과정에서 오류 가능성이 있는 필드는 재처리·샘플 검증·신뢰등급화를 수행하도록 설계함.</w:t>
      </w:r>
    </w:p>
    <w:p>
      <w:pPr>
        <w:keepNext/>
        <w:spacing w:before="120" w:after="60" w:line="240" w:lineRule="auto"/>
        <w:jc w:val="left"/>
        <w:widowControl/>
      </w:pPr>
      <w:r>
        <w:rPr>
          <w:rFonts w:ascii="맑은 고딕" w:hAnsi="맑은 고딕" w:eastAsia="맑은 고딕"/>
          <w:b/>
          <w:color w:val="12314F"/>
          <w:sz w:val="19"/>
        </w:rPr>
        <w:t>표 2-10. 방법론상 위험요인과 통제·보완 방안</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757"/>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위험요인</w:t>
            </w:r>
          </w:p>
        </w:tc>
        <w:tc>
          <w:tcPr>
            <w:tcW w:type="dxa" w:w="294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발생 가능 영향</w:t>
            </w:r>
          </w:p>
        </w:tc>
        <w:tc>
          <w:tcPr>
            <w:tcW w:type="dxa" w:w="283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현재 통제</w:t>
            </w:r>
          </w:p>
        </w:tc>
        <w:tc>
          <w:tcPr>
            <w:tcW w:type="dxa" w:w="3005"/>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5"/>
              </w:rPr>
              <w:t>후속 보완</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제목 기반 검색</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초록·본문에만 관련성이 있는 논문을 누락할 수 있음</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관련성 높은 코어 모집단으로 해석함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초록·전문 확장 검색과 분류모델을 병행함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QUANTIZATION 노이즈</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양자물리와 무관한 모델 압축·신호처리 논문이 유입될 수 있음</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카테고리·초록·본문 키워드로 점검함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규칙 기반 제외어와 지도학습 분류를 적용함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arXiv 버전</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동일 논문의 개정 버전이 시계열 수치에 영향을 줄 수 있음</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arXiv ID 기준 대표 레코드를 사용함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버전별 최초 제출일과 최종 수정일을 분리함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기관명 변형</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동일 기관이 복수 명칭으로 분리되어 순위와 협업망이 왜곡될 수 있음</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기초 문자열 정제와 국가 추론을 적용함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기관 표준사전·ROR·GRID 등 외부 식별자를 매핑함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국가 추론 결측</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국가 순위·국제협력률이 과소추정될 수 있음</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제1저자 국가와 전체 기관 국가의 커버리지를 병기함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소속문자열·도메인·외부기관 DB의 다중 검증을 수행함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시장전망 편차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기관별 시장규모·시점이 다르게 제시될 수 있음</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정책·공식·시장 자료의 위계를 구분함</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복수 전망의 가정·범위·기준연도를 병기함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5"/>
              </w:rPr>
              <w:t>기업 로드맵 과대해석</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5"/>
              </w:rPr>
              <w:t>목표를 달성된 기술성과로 오인할 수 있음</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동료평가·독립 벤치마킹과 구분함</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5"/>
              </w:rPr>
              <w:t>달성 시점·검증지표·외부평가를 추적함</w:t>
            </w:r>
          </w:p>
        </w:tc>
      </w:tr>
    </w:tbl>
    <w:p>
      <w:pPr>
        <w:spacing w:after="0"/>
      </w:pPr>
    </w:p>
    <w:tbl>
      <w:tblPr>
        <w:tblW w:type="auto" w:w="0"/>
        <w:jc w:val="center"/>
        <w:tblLayout w:type="fixed"/>
        <w:tblLook w:firstColumn="1" w:firstRow="1" w:lastColumn="0" w:lastRow="0" w:noHBand="0" w:noVBand="1" w:val="04A0"/>
      </w:tblPr>
      <w:tblGrid>
        <w:gridCol w:w="10546"/>
      </w:tblGrid>
      <w:tr>
        <w:tc>
          <w:tcPr>
            <w:tcW w:type="dxa" w:w="10546"/>
            <w:shd w:fill="EAF5EF"/>
            <w:tcBorders>
              <w:top w:val="single" w:sz="8" w:color="55A884"/>
              <w:left w:val="single" w:sz="8" w:color="55A884"/>
              <w:bottom w:val="single" w:sz="8" w:color="55A884"/>
              <w:right w:val="single" w:sz="8" w:color="55A884"/>
            </w:tcBorders>
            <w:tcMar>
              <w:top w:w="120" w:type="dxa"/>
              <w:start w:w="160" w:type="dxa"/>
              <w:bottom w:w="120" w:type="dxa"/>
              <w:end w:w="160" w:type="dxa"/>
            </w:tcMar>
          </w:tcPr>
          <w:p>
            <w:pPr>
              <w:spacing w:before="0" w:after="80" w:line="300" w:lineRule="auto"/>
              <w:widowControl/>
            </w:pPr>
            <w:r>
              <w:rPr>
                <w:rFonts w:ascii="맑은 고딕" w:hAnsi="맑은 고딕" w:eastAsia="맑은 고딕"/>
                <w:b/>
                <w:color w:val="12314F"/>
                <w:sz w:val="22"/>
              </w:rPr>
              <w:t>중간 점검 체크리스트</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논문 수와 월별 합계가 2,400건으로 일치하는지 검증함.</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표·그래프의 분모, 기간, 중복 허용 여부가 본 장 정의와 일치하는지 확인함.</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카테고리는 국문명을 메인으로, 영문 코드·명칭을 괄호로 병기함.</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저자 그래프의 라벨은 ‘저자명 (국가)’ 형식으로 표시하고 국가 미확인 여부를 숨기지 않음.</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표 제목은 표 위쪽, 그림·이미지 제목은 아래쪽에 배치함.</w:t>
            </w:r>
          </w:p>
          <w:p>
            <w:pPr>
              <w:spacing w:before="0" w:after="40" w:line="288" w:lineRule="auto"/>
              <w:ind w:left="198" w:hanging="142"/>
              <w:widowControl/>
            </w:pPr>
            <w:r>
              <w:rPr>
                <w:rFonts w:ascii="맑은 고딕" w:hAnsi="맑은 고딕" w:eastAsia="맑은 고딕"/>
                <w:b/>
                <w:color w:val="55A884"/>
                <w:sz w:val="19"/>
              </w:rPr>
              <w:t xml:space="preserve">• </w:t>
            </w:r>
            <w:r>
              <w:rPr>
                <w:rFonts w:ascii="맑은 고딕" w:hAnsi="맑은 고딕" w:eastAsia="맑은 고딕"/>
                <w:b w:val="0"/>
                <w:color w:val="203040"/>
                <w:sz w:val="19"/>
              </w:rPr>
              <w:t>그래프 라벨과 수치는 굵은 글꼴을 사용하고 플롯 영역 밖으로 벗어나지 않도록 여백을 검수함.</w:t>
            </w:r>
          </w:p>
        </w:tc>
      </w:tr>
    </w:tbl>
    <w:p>
      <w:pPr>
        <w:spacing w:after="0"/>
      </w:pPr>
    </w:p>
    <w:p>
      <w:pPr>
        <w:keepNext/>
        <w:spacing w:before="280" w:after="140"/>
        <w:pBdr>
          <w:bottom w:val="single" w:sz="14" w:space="3" w:color="4C8ED9"/>
        </w:pBdr>
      </w:pPr>
      <w:r>
        <w:rPr>
          <w:rFonts w:ascii="맑은 고딕" w:hAnsi="맑은 고딕" w:eastAsia="맑은 고딕"/>
          <w:b/>
          <w:color w:val="12314F"/>
          <w:sz w:val="32"/>
        </w:rPr>
        <w:t>2.10 후속 장 연결 구조</w:t>
      </w:r>
    </w:p>
    <w:p>
      <w:pPr>
        <w:spacing w:before="0" w:after="100" w:line="324" w:lineRule="auto"/>
        <w:jc w:val="both"/>
        <w:widowControl/>
      </w:pPr>
      <w:r>
        <w:rPr>
          <w:rFonts w:ascii="맑은 고딕" w:hAnsi="맑은 고딕" w:eastAsia="맑은 고딕"/>
          <w:b w:val="0"/>
          <w:color w:val="203040"/>
          <w:sz w:val="20"/>
        </w:rPr>
        <w:t>본 장에서 정의한 모집단·지표·정성 근거의 활용 원칙은 이후 모든 분석 장에 공통 적용함. 각 장은 독립 분석 결과를 제시하되 제7장의 통합 시사점에서 연구 규모, 분야 구조, 연구 주체, 협업 구조를 상호 연결하도록 구성함.</w:t>
      </w:r>
    </w:p>
    <w:p>
      <w:pPr>
        <w:keepNext/>
        <w:spacing w:before="120" w:after="60" w:line="240" w:lineRule="auto"/>
        <w:jc w:val="left"/>
        <w:widowControl/>
      </w:pPr>
      <w:r>
        <w:rPr>
          <w:rFonts w:ascii="맑은 고딕" w:hAnsi="맑은 고딕" w:eastAsia="맑은 고딕"/>
          <w:b/>
          <w:color w:val="12314F"/>
          <w:sz w:val="19"/>
        </w:rPr>
        <w:t>표 2-11. 후속 장의 핵심 질문과 본 장의 적용 기준</w:t>
      </w:r>
    </w:p>
    <w:tbl>
      <w:tblPr>
        <w:tblW w:type="auto" w:w="0"/>
        <w:jc w:val="center"/>
        <w:tblLayout w:type="fixed"/>
        <w:tblLook w:firstColumn="1" w:firstRow="1" w:lastColumn="0" w:lastRow="0" w:noHBand="0" w:noVBand="1" w:val="04A0"/>
      </w:tblPr>
      <w:tblGrid>
        <w:gridCol w:w="2636"/>
        <w:gridCol w:w="2636"/>
        <w:gridCol w:w="2636"/>
        <w:gridCol w:w="2636"/>
      </w:tblGrid>
      <w:tr>
        <w:trPr>
          <w:tblHeader w:val="true"/>
        </w:trPr>
        <w:tc>
          <w:tcPr>
            <w:tcW w:type="dxa" w:w="187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후속 장</w:t>
            </w:r>
          </w:p>
        </w:tc>
        <w:tc>
          <w:tcPr>
            <w:tcW w:type="dxa" w:w="289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핵심 질문</w:t>
            </w:r>
          </w:p>
        </w:tc>
        <w:tc>
          <w:tcPr>
            <w:tcW w:type="dxa" w:w="3231"/>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본 장에서 고정한 기준</w:t>
            </w:r>
          </w:p>
        </w:tc>
        <w:tc>
          <w:tcPr>
            <w:tcW w:type="dxa" w:w="2608"/>
            <w:shd w:fill="12314F"/>
            <w:tcBorders>
              <w:top w:val="single" w:sz="6" w:color="C9D6E2"/>
              <w:left w:val="single" w:sz="6" w:color="C9D6E2"/>
              <w:bottom w:val="single" w:sz="6" w:color="C9D6E2"/>
              <w:right w:val="single" w:sz="6" w:color="C9D6E2"/>
            </w:tcBorders>
            <w:tcMar>
              <w:top w:w="80" w:type="dxa"/>
              <w:start w:w="90" w:type="dxa"/>
              <w:bottom w:w="80" w:type="dxa"/>
              <w:end w:w="90" w:type="dxa"/>
            </w:tcMar>
            <w:vAlign w:val="center"/>
          </w:tcPr>
          <w:p>
            <w:pPr>
              <w:spacing w:before="0" w:after="0" w:line="252" w:lineRule="auto"/>
              <w:jc w:val="center"/>
              <w:widowControl/>
            </w:pPr>
            <w:r>
              <w:rPr>
                <w:rFonts w:ascii="맑은 고딕" w:hAnsi="맑은 고딕" w:eastAsia="맑은 고딕"/>
                <w:b/>
                <w:color w:val="FFFFFF"/>
                <w:sz w:val="16"/>
              </w:rPr>
              <w:t>정성 통합 방향</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제3장 연구 규모·성장</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양자 연구량이 안정적으로 증가하고 있는가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12개월·2,400건, 월·반기·최근 3개월 지표</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시장 투자·국가예산·기업 로드맵과 연구량을 연결함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제4장 분야·카테고리</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코어 분야와 융합 확장축은 무엇인가</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주·전체 카테고리, 복수분류, 국문+영문 병기</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오류정정·PQC·QKD·센싱·표준화 이슈와 교차함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제5장 연구 주체</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누가 연구를 주도하고 참여하는가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저자·제1저자·기관, 제1저자 국가·전체 기관 국가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국가전략·연구인프라·산업생태계와 비교함</w:t>
            </w:r>
          </w:p>
        </w:tc>
      </w:tr>
      <w:tr>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제6장 협업 구조</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연구는 어떤 규모와 네트워크로 수행되는가</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공저·다기관·다국가 기준과 중복 집계 방식</w:t>
            </w:r>
          </w:p>
        </w:tc>
        <w:tc>
          <w:tcPr>
            <w:tcW w:type="dxa" w:w="2636"/>
            <w:shd w:fill="F3F5F7"/>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국제프로그램·표준 컨소시엄·공급망 협력과 연결함</w:t>
            </w:r>
          </w:p>
        </w:tc>
      </w:tr>
      <w:tr>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color w:val="203040"/>
                <w:sz w:val="16"/>
              </w:rPr>
              <w:t>제7장 종합 시사점</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center"/>
              <w:widowControl/>
            </w:pPr>
            <w:r>
              <w:rPr>
                <w:rFonts w:ascii="맑은 고딕" w:hAnsi="맑은 고딕" w:eastAsia="맑은 고딕"/>
                <w:b w:val="0"/>
                <w:color w:val="203040"/>
                <w:sz w:val="16"/>
              </w:rPr>
              <w:t>정량 신호를 어떤 R&amp;D·산업·정책 전략으로 전환할 것인가</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정량·정성 교차검증 및 한계·대안 가설</w:t>
            </w:r>
          </w:p>
        </w:tc>
        <w:tc>
          <w:tcPr>
            <w:tcW w:type="dxa" w:w="2636"/>
            <w:shd w:fill="FFFFFF"/>
            <w:tcBorders>
              <w:top w:val="single" w:sz="4" w:color="C9D6E2"/>
              <w:left w:val="single" w:sz="4" w:color="C9D6E2"/>
              <w:bottom w:val="single" w:sz="4" w:color="C9D6E2"/>
              <w:right w:val="single" w:sz="4" w:color="C9D6E2"/>
            </w:tcBorders>
            <w:tcMar>
              <w:top w:w="80" w:type="dxa"/>
              <w:start w:w="90" w:type="dxa"/>
              <w:bottom w:w="80" w:type="dxa"/>
              <w:end w:w="90" w:type="dxa"/>
            </w:tcMar>
            <w:vAlign w:val="center"/>
          </w:tcPr>
          <w:p>
            <w:pPr>
              <w:spacing w:before="0" w:after="0" w:line="259" w:lineRule="auto"/>
              <w:jc w:val="left"/>
              <w:widowControl/>
            </w:pPr>
            <w:r>
              <w:rPr>
                <w:rFonts w:ascii="맑은 고딕" w:hAnsi="맑은 고딕" w:eastAsia="맑은 고딕"/>
                <w:b w:val="0"/>
                <w:color w:val="203040"/>
                <w:sz w:val="16"/>
              </w:rPr>
              <w:t>우선 기술군·협력대상·모니터링 체계를 제시함</w:t>
            </w:r>
          </w:p>
        </w:tc>
      </w:tr>
    </w:tbl>
    <w:p>
      <w:pPr>
        <w:spacing w:after="0"/>
      </w:pPr>
    </w:p>
    <w:p>
      <w:pPr>
        <w:keepNext/>
        <w:spacing w:before="280" w:after="140"/>
        <w:pBdr>
          <w:bottom w:val="single" w:sz="14" w:space="3" w:color="4C8ED9"/>
        </w:pBdr>
      </w:pPr>
      <w:r>
        <w:rPr>
          <w:rFonts w:ascii="맑은 고딕" w:hAnsi="맑은 고딕" w:eastAsia="맑은 고딕"/>
          <w:b/>
          <w:color w:val="12314F"/>
          <w:sz w:val="32"/>
        </w:rPr>
        <w:t>2.11 본 장 소결</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수집 원자료 2,427건 중 2026년 6월 부분월 27건을 제외하고 12개월·2,400건을 수치 분석의 공통 기준으로 확정함.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제목 기반 검색식은 높은 관련성을 갖는 양자 코어 논문군을 확보하는 데 강점이 있으나 전체 양자 연구의 완전 모집단으로 과대해석하지 않도록 통제함.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메타데이터와 PDF 전문을 통합하여 월·카테고리·저자·기관·국가·협업의 다층 분석이 가능한 DB를 구축함.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국가 분석은 제1저자 국가 기준과 전체 기관 국가 기준을 병렬 적용하여 연구 주도성과 참여 범위를 구분함.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정량 분석은 최신 시장·기술·정책·표준화 자료와 교차검증하여 연구활동의 배경, 지속 가능성, 전략적 의미를 함께 해석함.</w:t>
      </w:r>
    </w:p>
    <w:p>
      <w:pPr>
        <w:spacing w:before="0" w:after="60" w:line="300" w:lineRule="auto"/>
        <w:ind w:left="312" w:hanging="170"/>
        <w:widowControl/>
      </w:pPr>
      <w:r>
        <w:rPr>
          <w:rFonts w:ascii="맑은 고딕" w:hAnsi="맑은 고딕" w:eastAsia="맑은 고딕"/>
          <w:b/>
          <w:color w:val="4C8ED9"/>
          <w:sz w:val="20"/>
        </w:rPr>
        <w:t xml:space="preserve">• </w:t>
      </w:r>
      <w:r>
        <w:rPr>
          <w:rFonts w:ascii="맑은 고딕" w:hAnsi="맑은 고딕" w:eastAsia="맑은 고딕"/>
          <w:b w:val="0"/>
          <w:color w:val="203040"/>
          <w:sz w:val="20"/>
        </w:rPr>
        <w:t>다음 제3장에서는 본 장의 기준 DB를 활용하여 월별 연구량, 전후반기 증감, 피크·저점, 최근 모멘텀을 분석함.</w:t>
      </w:r>
    </w:p>
    <w:p>
      <w:pPr>
        <w:keepNext/>
        <w:spacing w:before="280" w:after="140"/>
        <w:pBdr>
          <w:bottom w:val="single" w:sz="14" w:space="3" w:color="4C8ED9"/>
        </w:pBdr>
      </w:pPr>
      <w:r>
        <w:rPr>
          <w:rFonts w:ascii="맑은 고딕" w:hAnsi="맑은 고딕" w:eastAsia="맑은 고딕"/>
          <w:b/>
          <w:color w:val="12314F"/>
          <w:sz w:val="32"/>
        </w:rPr>
        <w:t>2.12 본 장에서 활용하는 주요 정성 근거자료</w:t>
      </w:r>
    </w:p>
    <w:p>
      <w:pPr>
        <w:spacing w:before="0" w:after="100" w:line="324" w:lineRule="auto"/>
        <w:jc w:val="both"/>
        <w:widowControl/>
      </w:pPr>
      <w:r>
        <w:rPr>
          <w:rFonts w:ascii="맑은 고딕" w:hAnsi="맑은 고딕" w:eastAsia="맑은 고딕"/>
          <w:b w:val="0"/>
          <w:color w:val="203040"/>
          <w:sz w:val="20"/>
        </w:rPr>
        <w:t>아래 자료는 방법론의 정성 통합 프레임을 설계하고 후속 장의 정량 결과를 교차해석하기 위한 대표 근거자료로 관리함. 전체 참고자료는 최종 통합 보고서의 부록에서 시장·기술·정책·표준화 유형별로 정리함.</w:t>
      </w:r>
    </w:p>
    <w:p>
      <w:pPr>
        <w:spacing w:before="0" w:after="60" w:line="283" w:lineRule="auto"/>
        <w:ind w:left="198" w:hanging="198"/>
        <w:widowControl/>
      </w:pPr>
      <w:r>
        <w:rPr>
          <w:rFonts w:ascii="맑은 고딕" w:hAnsi="맑은 고딕" w:eastAsia="맑은 고딕"/>
          <w:b/>
          <w:color w:val="12314F"/>
          <w:sz w:val="17"/>
        </w:rPr>
        <w:t xml:space="preserve">[R1] </w:t>
      </w:r>
      <w:hyperlink r:id="rId16">
        <w:r>
          <w:rPr>
            <w:color w:val="0563C1"/>
            <w:u w:val="single"/>
            <w:rFonts w:eastAsia="맑은 고딕" w:ascii="Arial"/>
          </w:rPr>
          <w:t>NIST CSRC, Post-Quantum Cryptography FIPS Approved</w:t>
        </w:r>
      </w:hyperlink>
      <w:r>
        <w:rPr>
          <w:rFonts w:ascii="맑은 고딕" w:hAnsi="맑은 고딕" w:eastAsia="맑은 고딕"/>
          <w:b w:val="0"/>
          <w:color w:val="203040"/>
          <w:sz w:val="17"/>
        </w:rPr>
        <w:t xml:space="preserve"> — PQC 표준과 전환 기준에 활용함.</w:t>
      </w:r>
    </w:p>
    <w:p>
      <w:pPr>
        <w:spacing w:before="0" w:after="60" w:line="283" w:lineRule="auto"/>
        <w:ind w:left="198" w:hanging="198"/>
        <w:widowControl/>
      </w:pPr>
      <w:r>
        <w:rPr>
          <w:rFonts w:ascii="맑은 고딕" w:hAnsi="맑은 고딕" w:eastAsia="맑은 고딕"/>
          <w:b/>
          <w:color w:val="12314F"/>
          <w:sz w:val="17"/>
        </w:rPr>
        <w:t xml:space="preserve">[R2] </w:t>
      </w:r>
      <w:hyperlink r:id="rId17">
        <w:r>
          <w:rPr>
            <w:color w:val="0563C1"/>
            <w:u w:val="single"/>
            <w:rFonts w:eastAsia="맑은 고딕" w:ascii="Arial"/>
          </w:rPr>
          <w:t>National Quantum Initiative, Annual Report FY2025</w:t>
        </w:r>
      </w:hyperlink>
      <w:r>
        <w:rPr>
          <w:rFonts w:ascii="맑은 고딕" w:hAnsi="맑은 고딕" w:eastAsia="맑은 고딕"/>
          <w:b w:val="0"/>
          <w:color w:val="203040"/>
          <w:sz w:val="17"/>
        </w:rPr>
        <w:t xml:space="preserve"> — 미국 국가양자 연구·예산·기관활동에 활용함.</w:t>
      </w:r>
    </w:p>
    <w:p>
      <w:pPr>
        <w:spacing w:before="0" w:after="60" w:line="283" w:lineRule="auto"/>
        <w:ind w:left="198" w:hanging="198"/>
        <w:widowControl/>
      </w:pPr>
      <w:r>
        <w:rPr>
          <w:rFonts w:ascii="맑은 고딕" w:hAnsi="맑은 고딕" w:eastAsia="맑은 고딕"/>
          <w:b/>
          <w:color w:val="12314F"/>
          <w:sz w:val="17"/>
        </w:rPr>
        <w:t xml:space="preserve">[R4] </w:t>
      </w:r>
      <w:hyperlink r:id="rId18">
        <w:r>
          <w:rPr>
            <w:color w:val="0563C1"/>
            <w:u w:val="single"/>
            <w:rFonts w:eastAsia="맑은 고딕" w:ascii="Arial"/>
          </w:rPr>
          <w:t>Quantum Flagship, Strategic Research and Industry Agenda 2030</w:t>
        </w:r>
      </w:hyperlink>
      <w:r>
        <w:rPr>
          <w:rFonts w:ascii="맑은 고딕" w:hAnsi="맑은 고딕" w:eastAsia="맑은 고딕"/>
          <w:b w:val="0"/>
          <w:color w:val="203040"/>
          <w:sz w:val="17"/>
        </w:rPr>
        <w:t xml:space="preserve"> — EU 기술·산업 로드맵에 활용함.</w:t>
      </w:r>
    </w:p>
    <w:p>
      <w:pPr>
        <w:spacing w:before="0" w:after="60" w:line="283" w:lineRule="auto"/>
        <w:ind w:left="198" w:hanging="198"/>
        <w:widowControl/>
      </w:pPr>
      <w:r>
        <w:rPr>
          <w:rFonts w:ascii="맑은 고딕" w:hAnsi="맑은 고딕" w:eastAsia="맑은 고딕"/>
          <w:b/>
          <w:color w:val="12314F"/>
          <w:sz w:val="17"/>
        </w:rPr>
        <w:t xml:space="preserve">[R5] </w:t>
      </w:r>
      <w:hyperlink r:id="rId19">
        <w:r>
          <w:rPr>
            <w:color w:val="0563C1"/>
            <w:u w:val="single"/>
            <w:rFonts w:eastAsia="맑은 고딕" w:ascii="Arial"/>
          </w:rPr>
          <w:t>UK Government, National Quantum Strategy</w:t>
        </w:r>
      </w:hyperlink>
      <w:r>
        <w:rPr>
          <w:rFonts w:ascii="맑은 고딕" w:hAnsi="맑은 고딕" w:eastAsia="맑은 고딕"/>
          <w:b w:val="0"/>
          <w:color w:val="203040"/>
          <w:sz w:val="17"/>
        </w:rPr>
        <w:t xml:space="preserve"> — 영국 연구·산업화·인력 전략에 활용함.</w:t>
      </w:r>
    </w:p>
    <w:p>
      <w:pPr>
        <w:spacing w:before="0" w:after="60" w:line="283" w:lineRule="auto"/>
        <w:ind w:left="198" w:hanging="198"/>
        <w:widowControl/>
      </w:pPr>
      <w:r>
        <w:rPr>
          <w:rFonts w:ascii="맑은 고딕" w:hAnsi="맑은 고딕" w:eastAsia="맑은 고딕"/>
          <w:b/>
          <w:color w:val="12314F"/>
          <w:sz w:val="17"/>
        </w:rPr>
        <w:t xml:space="preserve">[R6] </w:t>
      </w:r>
      <w:hyperlink r:id="rId20">
        <w:r>
          <w:rPr>
            <w:color w:val="0563C1"/>
            <w:u w:val="single"/>
            <w:rFonts w:eastAsia="맑은 고딕" w:ascii="Arial"/>
          </w:rPr>
          <w:t>McKinsey, Quantum Technology Monitor 2026</w:t>
        </w:r>
      </w:hyperlink>
      <w:r>
        <w:rPr>
          <w:rFonts w:ascii="맑은 고딕" w:hAnsi="맑은 고딕" w:eastAsia="맑은 고딕"/>
          <w:b w:val="0"/>
          <w:color w:val="203040"/>
          <w:sz w:val="17"/>
        </w:rPr>
        <w:t xml:space="preserve"> — 시장·기업 채택·투자 신호에 활용함.</w:t>
      </w:r>
    </w:p>
    <w:p>
      <w:pPr>
        <w:spacing w:before="0" w:after="60" w:line="283" w:lineRule="auto"/>
        <w:ind w:left="198" w:hanging="198"/>
        <w:widowControl/>
      </w:pPr>
      <w:r>
        <w:rPr>
          <w:rFonts w:ascii="맑은 고딕" w:hAnsi="맑은 고딕" w:eastAsia="맑은 고딕"/>
          <w:b/>
          <w:color w:val="12314F"/>
          <w:sz w:val="17"/>
        </w:rPr>
        <w:t xml:space="preserve">[R9] </w:t>
      </w:r>
      <w:hyperlink r:id="rId21">
        <w:r>
          <w:rPr>
            <w:color w:val="0563C1"/>
            <w:u w:val="single"/>
            <w:rFonts w:eastAsia="맑은 고딕" w:ascii="Arial"/>
          </w:rPr>
          <w:t>GSMA, Post-Quantum Cryptography Documents</w:t>
        </w:r>
      </w:hyperlink>
      <w:r>
        <w:rPr>
          <w:rFonts w:ascii="맑은 고딕" w:hAnsi="맑은 고딕" w:eastAsia="맑은 고딕"/>
          <w:b w:val="0"/>
          <w:color w:val="203040"/>
          <w:sz w:val="17"/>
        </w:rPr>
        <w:t xml:space="preserve"> — 이동통신망 PQC 전환에 활용함.</w:t>
      </w:r>
    </w:p>
    <w:p>
      <w:pPr>
        <w:spacing w:before="0" w:after="60" w:line="283" w:lineRule="auto"/>
        <w:ind w:left="198" w:hanging="198"/>
        <w:widowControl/>
      </w:pPr>
      <w:r>
        <w:rPr>
          <w:rFonts w:ascii="맑은 고딕" w:hAnsi="맑은 고딕" w:eastAsia="맑은 고딕"/>
          <w:b/>
          <w:color w:val="12314F"/>
          <w:sz w:val="17"/>
        </w:rPr>
        <w:t xml:space="preserve">[R12] </w:t>
      </w:r>
      <w:hyperlink r:id="rId22">
        <w:r>
          <w:rPr>
            <w:color w:val="0563C1"/>
            <w:u w:val="single"/>
            <w:rFonts w:eastAsia="맑은 고딕" w:ascii="Arial"/>
          </w:rPr>
          <w:t>Nature, Quantum Error Correction Below the Surface Code Threshold</w:t>
        </w:r>
      </w:hyperlink>
      <w:r>
        <w:rPr>
          <w:rFonts w:ascii="맑은 고딕" w:hAnsi="맑은 고딕" w:eastAsia="맑은 고딕"/>
          <w:b w:val="0"/>
          <w:color w:val="203040"/>
          <w:sz w:val="17"/>
        </w:rPr>
        <w:t xml:space="preserve"> — 오류정정 기술 성숙도 검증에 활용함.</w:t>
      </w:r>
    </w:p>
    <w:p>
      <w:pPr>
        <w:spacing w:before="0" w:after="60" w:line="283" w:lineRule="auto"/>
        <w:ind w:left="198" w:hanging="198"/>
        <w:widowControl/>
      </w:pPr>
      <w:r>
        <w:rPr>
          <w:rFonts w:ascii="맑은 고딕" w:hAnsi="맑은 고딕" w:eastAsia="맑은 고딕"/>
          <w:b/>
          <w:color w:val="12314F"/>
          <w:sz w:val="17"/>
        </w:rPr>
        <w:t xml:space="preserve">[R14] </w:t>
      </w:r>
      <w:hyperlink r:id="rId23">
        <w:r>
          <w:rPr>
            <w:color w:val="0563C1"/>
            <w:u w:val="single"/>
            <w:rFonts w:eastAsia="맑은 고딕" w:ascii="Arial"/>
          </w:rPr>
          <w:t>DARPA, Quantum Benchmarking Initiative</w:t>
        </w:r>
      </w:hyperlink>
      <w:r>
        <w:rPr>
          <w:rFonts w:ascii="맑은 고딕" w:hAnsi="맑은 고딕" w:eastAsia="맑은 고딕"/>
          <w:b w:val="0"/>
          <w:color w:val="203040"/>
          <w:sz w:val="17"/>
        </w:rPr>
        <w:t xml:space="preserve"> — 유용한 양자컴퓨터의 독립 벤치마킹에 활용함.</w:t>
      </w:r>
    </w:p>
    <w:p>
      <w:pPr>
        <w:spacing w:before="0" w:after="60" w:line="283" w:lineRule="auto"/>
        <w:ind w:left="198" w:hanging="198"/>
        <w:widowControl/>
      </w:pPr>
      <w:r>
        <w:rPr>
          <w:rFonts w:ascii="맑은 고딕" w:hAnsi="맑은 고딕" w:eastAsia="맑은 고딕"/>
          <w:b/>
          <w:color w:val="12314F"/>
          <w:sz w:val="17"/>
        </w:rPr>
        <w:t xml:space="preserve">[R18] </w:t>
      </w:r>
      <w:hyperlink r:id="rId24">
        <w:r>
          <w:rPr>
            <w:color w:val="0563C1"/>
            <w:u w:val="single"/>
            <w:rFonts w:eastAsia="맑은 고딕" w:ascii="Arial"/>
          </w:rPr>
          <w:t>European Commission, Quantum Europe Strategy</w:t>
        </w:r>
      </w:hyperlink>
      <w:r>
        <w:rPr>
          <w:rFonts w:ascii="맑은 고딕" w:hAnsi="맑은 고딕" w:eastAsia="맑은 고딕"/>
          <w:b w:val="0"/>
          <w:color w:val="203040"/>
          <w:sz w:val="17"/>
        </w:rPr>
        <w:t xml:space="preserve"> — EU 최신 양자 전략에 활용함.</w:t>
      </w:r>
    </w:p>
    <w:p>
      <w:pPr>
        <w:spacing w:before="0" w:after="60" w:line="283" w:lineRule="auto"/>
        <w:ind w:left="198" w:hanging="198"/>
        <w:widowControl/>
      </w:pPr>
      <w:r>
        <w:rPr>
          <w:rFonts w:ascii="맑은 고딕" w:hAnsi="맑은 고딕" w:eastAsia="맑은 고딕"/>
          <w:b/>
          <w:color w:val="12314F"/>
          <w:sz w:val="17"/>
        </w:rPr>
        <w:t xml:space="preserve">[R38] </w:t>
      </w:r>
      <w:hyperlink r:id="rId25">
        <w:r>
          <w:rPr>
            <w:color w:val="0563C1"/>
            <w:u w:val="single"/>
            <w:rFonts w:eastAsia="맑은 고딕" w:ascii="Arial"/>
          </w:rPr>
          <w:t>IEC/ISO JTC 3, Strategic Business Plan</w:t>
        </w:r>
      </w:hyperlink>
      <w:r>
        <w:rPr>
          <w:rFonts w:ascii="맑은 고딕" w:hAnsi="맑은 고딕" w:eastAsia="맑은 고딕"/>
          <w:b w:val="0"/>
          <w:color w:val="203040"/>
          <w:sz w:val="17"/>
        </w:rPr>
        <w:t xml:space="preserve"> — 양자 전 분야 국제표준화 구조에 활용함.</w:t>
      </w:r>
    </w:p>
    <w:p>
      <w:pPr>
        <w:spacing w:before="0" w:after="60" w:line="283" w:lineRule="auto"/>
        <w:ind w:left="198" w:hanging="198"/>
        <w:widowControl/>
      </w:pPr>
      <w:r>
        <w:rPr>
          <w:rFonts w:ascii="맑은 고딕" w:hAnsi="맑은 고딕" w:eastAsia="맑은 고딕"/>
          <w:b/>
          <w:color w:val="12314F"/>
          <w:sz w:val="17"/>
        </w:rPr>
        <w:t xml:space="preserve">[R39] </w:t>
      </w:r>
      <w:hyperlink r:id="rId26">
        <w:r>
          <w:rPr>
            <w:color w:val="0563C1"/>
            <w:u w:val="single"/>
            <w:rFonts w:eastAsia="맑은 고딕" w:ascii="Arial"/>
          </w:rPr>
          <w:t>ITU-T Y.Sup98, Technical Considerations Towards Quantum Networks</w:t>
        </w:r>
      </w:hyperlink>
      <w:r>
        <w:rPr>
          <w:rFonts w:ascii="맑은 고딕" w:hAnsi="맑은 고딕" w:eastAsia="맑은 고딕"/>
          <w:b w:val="0"/>
          <w:color w:val="203040"/>
          <w:sz w:val="17"/>
        </w:rPr>
        <w:t xml:space="preserve"> — 양자 네트워크 구조·표준화에 활용함.</w:t>
      </w:r>
    </w:p>
    <w:sectPr w:rsidR="00FC693F" w:rsidRPr="0006063C" w:rsidSect="00034616">
      <w:headerReference w:type="default" r:id="rId9"/>
      <w:footerReference w:type="default" r:id="rId10"/>
      <w:pgSz w:w="11906" w:h="16838"/>
      <w:pgMar w:top="879" w:right="680" w:bottom="822" w:left="68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C7884"/>
        <w:sz w:val="17"/>
      </w:rPr>
      <w:t xml:space="preserve">분석 기준: 2025.06~2026.05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맑은 고딕" w:hAnsi="맑은 고딕" w:eastAsia="맑은 고딕"/>
        <w:b/>
        <w:color w:val="12314F"/>
        <w:sz w:val="17"/>
      </w:rPr>
      <w:t>arXiv 양자 분야 논문 분석 | 제2장 분석 대상 및 방법론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csrc.nist.gov/news/2024/postquantum-cryptography-fips-approved" TargetMode="External"/><Relationship Id="rId17" Type="http://schemas.openxmlformats.org/officeDocument/2006/relationships/hyperlink" Target="https://www.quantum.gov/wp-content/uploads/2024/12/NQI-Annual-Report-FY2025.pdf" TargetMode="External"/><Relationship Id="rId18" Type="http://schemas.openxmlformats.org/officeDocument/2006/relationships/hyperlink" Target="https://qt.eu/about-quantum-flagship/strategic-research-and-industry-agenda-2030" TargetMode="External"/><Relationship Id="rId19" Type="http://schemas.openxmlformats.org/officeDocument/2006/relationships/hyperlink" Target="https://www.gov.uk/government/publications/national-quantum-strategy" TargetMode="External"/><Relationship Id="rId20" Type="http://schemas.openxmlformats.org/officeDocument/2006/relationships/hyperlink" Target="https://www.mckinsey.com/capabilities/mckinsey-technology/our-insights/mckinsey-quantum-technology-monitor-2026-a-commercial-tipping-point" TargetMode="External"/><Relationship Id="rId21" Type="http://schemas.openxmlformats.org/officeDocument/2006/relationships/hyperlink" Target="https://www.gsma.com/solutions-and-impact/technologies/security/post-quantum-cryptography-documents/" TargetMode="External"/><Relationship Id="rId22" Type="http://schemas.openxmlformats.org/officeDocument/2006/relationships/hyperlink" Target="https://www.nature.com/articles/s41586-024-08449-y" TargetMode="External"/><Relationship Id="rId23" Type="http://schemas.openxmlformats.org/officeDocument/2006/relationships/hyperlink" Target="https://www.darpa.mil/research/programs/quantum-benchmarking-initiative" TargetMode="External"/><Relationship Id="rId24" Type="http://schemas.openxmlformats.org/officeDocument/2006/relationships/hyperlink" Target="https://digital-strategy.ec.europa.eu/en/library/quantum-europe-strategy" TargetMode="External"/><Relationship Id="rId25" Type="http://schemas.openxmlformats.org/officeDocument/2006/relationships/hyperlink" Target="https://assets.iec.ch/further_informations/49854/SBP_JTC%203_2026.05.pdf" TargetMode="External"/><Relationship Id="rId26" Type="http://schemas.openxmlformats.org/officeDocument/2006/relationships/hyperlink" Target="https://www.itu.int/rec/dologin_pub.asp?id=T-REC-Y.Sup98-202511-I%21%21PDF-E&amp;lang=s&amp;type=i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arXiv 양자 분야 제2장 분석 대상 및 방법론</dc:title>
  <dc:subject>2025년 6월~2026년 5월 12개월 기준, 정량·정성 통합 방법론</dc:subject>
  <dc:creator>OpenAI</dc:creator>
  <cp:keywords>arXiv, 양자, 논문분석, 방법론, 시장, 기술, 정책, 표준화</cp:keywords>
  <dc:description>generated by python-docx</dc:description>
  <cp:lastModifiedBy/>
  <cp:revision>1</cp:revision>
  <dcterms:created xsi:type="dcterms:W3CDTF">2013-12-23T23:15:00Z</dcterms:created>
  <dcterms:modified xsi:type="dcterms:W3CDTF">2013-12-23T23:15:00Z</dcterms:modified>
  <cp:category/>
</cp:coreProperties>
</file>