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17365D"/>
            <w:tcMar>
              <w:top w:w="720" w:type="dxa"/>
              <w:start w:w="300" w:type="dxa"/>
              <w:bottom w:w="720" w:type="dxa"/>
              <w:end w:w="300" w:type="dxa"/>
            </w:tcMar>
            <w:tcBorders>
              <w:top w:val="single" w:sz="0" w:color="17365D"/>
              <w:left w:val="single" w:sz="0" w:color="17365D"/>
              <w:bottom w:val="single" w:sz="0" w:color="17365D"/>
              <w:right w:val="single" w:sz="0" w:color="17365D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9DC3E6"/>
                <w:sz w:val="28"/>
              </w:rPr>
              <w:t>CHAPTER 6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54"/>
              </w:rPr>
              <w:t>협업 구조 분석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D9EAF7"/>
                <w:sz w:val="24"/>
              </w:rPr>
              <w:t>2025년 6월~2026년 5월 | 12개월·2,400건</w:t>
            </w:r>
          </w:p>
          <w:p>
            <w:pPr>
              <w:keepNext w:val="0"/>
              <w:spacing w:before="320" w:after="8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D966"/>
                <w:sz w:val="21"/>
              </w:rPr>
              <w:t>공동저자 보편화 × 선택적 다기관·국제협력 × 허브국가 중심 네트워크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c>
          <w:tcPr>
            <w:tcW w:type="dxa" w:w="2075"/>
            <w:shd w:fill="D9EAF7"/>
            <w:tcBorders>
              <w:top w:val="single" w:sz="7" w:color="2F75B5"/>
              <w:left w:val="single" w:sz="7" w:color="2F75B5"/>
              <w:bottom w:val="single" w:sz="7" w:color="2F75B5"/>
              <w:right w:val="single" w:sz="7" w:color="2F75B5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30"/>
              </w:rPr>
              <w:t>88.0%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6B7280"/>
                <w:sz w:val="17"/>
              </w:rPr>
              <w:t>공동저자 연구</w:t>
            </w:r>
          </w:p>
        </w:tc>
        <w:tc>
          <w:tcPr>
            <w:tcW w:type="dxa" w:w="2075"/>
            <w:shd w:fill="E2F0D9"/>
            <w:tcBorders>
              <w:top w:val="single" w:sz="7" w:color="548235"/>
              <w:left w:val="single" w:sz="7" w:color="548235"/>
              <w:bottom w:val="single" w:sz="7" w:color="548235"/>
              <w:right w:val="single" w:sz="7" w:color="548235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30"/>
              </w:rPr>
              <w:t>5.41명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6B7280"/>
                <w:sz w:val="17"/>
              </w:rPr>
              <w:t>평균 저자 수</w:t>
            </w:r>
          </w:p>
        </w:tc>
        <w:tc>
          <w:tcPr>
            <w:tcW w:type="dxa" w:w="2075"/>
            <w:shd w:fill="FCE4D6"/>
            <w:tcBorders>
              <w:top w:val="single" w:sz="7" w:color="ED7D31"/>
              <w:left w:val="single" w:sz="7" w:color="ED7D31"/>
              <w:bottom w:val="single" w:sz="7" w:color="ED7D31"/>
              <w:right w:val="single" w:sz="7" w:color="ED7D31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30"/>
              </w:rPr>
              <w:t>29.6%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6B7280"/>
                <w:sz w:val="17"/>
              </w:rPr>
              <w:t>다기관 연구</w:t>
            </w:r>
          </w:p>
        </w:tc>
        <w:tc>
          <w:tcPr>
            <w:tcW w:type="dxa" w:w="2075"/>
            <w:shd w:fill="E4DFEC"/>
            <w:tcBorders>
              <w:top w:val="single" w:sz="7" w:color="7030A0"/>
              <w:left w:val="single" w:sz="7" w:color="7030A0"/>
              <w:bottom w:val="single" w:sz="7" w:color="7030A0"/>
              <w:right w:val="single" w:sz="7" w:color="7030A0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30"/>
              </w:rPr>
              <w:t>10.0%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6B7280"/>
                <w:sz w:val="17"/>
              </w:rPr>
              <w:t>국제협력</w:t>
            </w:r>
          </w:p>
        </w:tc>
        <w:tc>
          <w:tcPr>
            <w:tcW w:type="dxa" w:w="2075"/>
            <w:shd w:fill="F2F4F7"/>
            <w:tcBorders>
              <w:top w:val="single" w:sz="7" w:color="6B7280"/>
              <w:left w:val="single" w:sz="7" w:color="6B7280"/>
              <w:bottom w:val="single" w:sz="7" w:color="6B7280"/>
              <w:right w:val="single" w:sz="7" w:color="6B7280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30"/>
              </w:rPr>
              <w:t>7.1%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6B7280"/>
                <w:sz w:val="17"/>
              </w:rPr>
              <w:t>10명 이상 대형팀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D9EAF7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spacing w:before="0" w:after="80" w:line="240" w:lineRule="auto"/>
            </w:pPr>
            <w:r>
              <w:rPr>
                <w:rFonts w:ascii="맑은 고딕" w:hAnsi="맑은 고딕" w:eastAsia="맑은 고딕"/>
                <w:b/>
                <w:color w:val="17365D"/>
                <w:sz w:val="22"/>
              </w:rPr>
              <w:t>본 장의 핵심 판단</w:t>
            </w:r>
          </w:p>
          <w:p>
            <w:pPr>
              <w:keepNext w:val="0"/>
              <w:spacing w:before="0" w:after="40" w:line="288" w:lineRule="auto"/>
              <w:ind w:left="198" w:hanging="142"/>
            </w:pPr>
            <w:r>
              <w:rPr>
                <w:rFonts w:ascii="맑은 고딕" w:hAnsi="맑은 고딕" w:eastAsia="맑은 고딕"/>
                <w:b/>
                <w:color w:val="2F75B5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43447"/>
                <w:sz w:val="19"/>
              </w:rPr>
              <w:t>양자 분야의 기본 수행 방식은 공동저자 연구이나, 기관과 국가 수준의 협업은 선택적으로 형성되는 다층 구조로 판단함.</w:t>
            </w:r>
          </w:p>
          <w:p>
            <w:pPr>
              <w:keepNext w:val="0"/>
              <w:spacing w:before="0" w:after="40" w:line="288" w:lineRule="auto"/>
              <w:ind w:left="198" w:hanging="142"/>
            </w:pPr>
            <w:r>
              <w:rPr>
                <w:rFonts w:ascii="맑은 고딕" w:hAnsi="맑은 고딕" w:eastAsia="맑은 고딕"/>
                <w:b/>
                <w:color w:val="2F75B5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43447"/>
                <w:sz w:val="19"/>
              </w:rPr>
              <w:t>2~4인 연구가 53.5%를 차지하여 소·중규모 팀이 중심이며, 10명 이상 대형팀 7.1%가 실험·장비·플랫폼·컨소시엄형 연구를 보완함.</w:t>
            </w:r>
          </w:p>
          <w:p>
            <w:pPr>
              <w:keepNext w:val="0"/>
              <w:spacing w:before="0" w:after="40" w:line="288" w:lineRule="auto"/>
              <w:ind w:left="198" w:hanging="142"/>
            </w:pPr>
            <w:r>
              <w:rPr>
                <w:rFonts w:ascii="맑은 고딕" w:hAnsi="맑은 고딕" w:eastAsia="맑은 고딕"/>
                <w:b/>
                <w:color w:val="2F75B5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43447"/>
                <w:sz w:val="19"/>
              </w:rPr>
              <w:t>국제협력은 전체의 10.0%로 제한적이나 미국을 중심으로 독일·영국·인도·중국 등과 연결되는 허브형 네트워크가 확인됨.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6.1 분석 목적 및 앞선 장과의 연결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제3장에서 확인한 월평균 200편의 연구 생산이 단독 연구, 소규모 공저, 다기관 연구, 국제 공동연구 중 어떠한 수행 구조를 통해 형성되는지 분석함.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제4장에서 확인한 양자물리(quant-ph) 코어와 컴퓨터과학·응집물질·광학·암호/보안 확장이 실제로 더 큰 팀과 기관·국가 간 협력을 요구하는지 해석함.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제5장에서 확인한 분산형 연구자·기관 기반과 미국·중국·독일·영국·일본 중심의 국가축이 협업 네트워크에서는 어떤 허브 구조로 나타나는지 연결함.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본 장의 결과는 제7장에서 기술군별 국제협력 전략, 공동연구 파트너 선정, 연구인프라·표준화 연계, 국내 협력역량 강화 방안으로 전환함.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6-1. 협업 구조 분석 단위와 지표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1814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분석 축</w:t>
            </w:r>
          </w:p>
        </w:tc>
        <w:tc>
          <w:tcPr>
            <w:tcW w:type="dxa" w:w="2835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판정 기준</w:t>
            </w:r>
          </w:p>
        </w:tc>
        <w:tc>
          <w:tcPr>
            <w:tcW w:type="dxa" w:w="3175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핵심 지표</w:t>
            </w:r>
          </w:p>
        </w:tc>
        <w:tc>
          <w:tcPr>
            <w:tcW w:type="dxa" w:w="294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해석 목적</w:t>
            </w:r>
          </w:p>
        </w:tc>
      </w:tr>
      <w:tr>
        <w:tc>
          <w:tcPr>
            <w:tcW w:type="dxa" w:w="181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공저 구조</w:t>
            </w:r>
          </w:p>
        </w:tc>
        <w:tc>
          <w:tcPr>
            <w:tcW w:type="dxa" w:w="283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저자 수 1명 / 2명 이상</w:t>
            </w:r>
          </w:p>
        </w:tc>
        <w:tc>
          <w:tcPr>
            <w:tcW w:type="dxa" w:w="31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단독·공동 비율, 평균·중앙값, 공저 규모</w:t>
            </w:r>
          </w:p>
        </w:tc>
        <w:tc>
          <w:tcPr>
            <w:tcW w:type="dxa" w:w="294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연구 수행의 기본 팀 구조를 파악함</w:t>
            </w:r>
          </w:p>
        </w:tc>
      </w:tr>
      <w:tr>
        <w:tc>
          <w:tcPr>
            <w:tcW w:type="dxa" w:w="181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기관 협업</w:t>
            </w:r>
          </w:p>
        </w:tc>
        <w:tc>
          <w:tcPr>
            <w:tcW w:type="dxa" w:w="283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정제 기관 수 1개 / 2개 이상</w:t>
            </w:r>
          </w:p>
        </w:tc>
        <w:tc>
          <w:tcPr>
            <w:tcW w:type="dxa" w:w="31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다기관 비율, 평균 기관 수, 기관쌍</w:t>
            </w:r>
          </w:p>
        </w:tc>
        <w:tc>
          <w:tcPr>
            <w:tcW w:type="dxa" w:w="294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인프라·장비·전문성 결합 수준을 진단함</w:t>
            </w:r>
          </w:p>
        </w:tc>
      </w:tr>
      <w:tr>
        <w:tc>
          <w:tcPr>
            <w:tcW w:type="dxa" w:w="181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국가 협업</w:t>
            </w:r>
          </w:p>
        </w:tc>
        <w:tc>
          <w:tcPr>
            <w:tcW w:type="dxa" w:w="283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기관 국가 1개 / 2개 이상</w:t>
            </w:r>
          </w:p>
        </w:tc>
        <w:tc>
          <w:tcPr>
            <w:tcW w:type="dxa" w:w="31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국제협력률, 국가쌍, 가중 연결 수</w:t>
            </w:r>
          </w:p>
        </w:tc>
        <w:tc>
          <w:tcPr>
            <w:tcW w:type="dxa" w:w="294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국제 개방성·허브국가·파트너를 탐색함</w:t>
            </w:r>
          </w:p>
        </w:tc>
      </w:tr>
      <w:tr>
        <w:tc>
          <w:tcPr>
            <w:tcW w:type="dxa" w:w="181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월별 변화</w:t>
            </w:r>
          </w:p>
        </w:tc>
        <w:tc>
          <w:tcPr>
            <w:tcW w:type="dxa" w:w="283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월별 논문과 협업 지표 재집계</w:t>
            </w:r>
          </w:p>
        </w:tc>
        <w:tc>
          <w:tcPr>
            <w:tcW w:type="dxa" w:w="31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공동저자·다기관·국제협력 비율</w:t>
            </w:r>
          </w:p>
        </w:tc>
        <w:tc>
          <w:tcPr>
            <w:tcW w:type="dxa" w:w="294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연구량과 협업 강도의 동행 여부를 확인함</w:t>
            </w:r>
          </w:p>
        </w:tc>
      </w:tr>
      <w:tr>
        <w:tc>
          <w:tcPr>
            <w:tcW w:type="dxa" w:w="181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분야별 차이</w:t>
            </w:r>
          </w:p>
        </w:tc>
        <w:tc>
          <w:tcPr>
            <w:tcW w:type="dxa" w:w="283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주 카테고리별 협업 특성 비교</w:t>
            </w:r>
          </w:p>
        </w:tc>
        <w:tc>
          <w:tcPr>
            <w:tcW w:type="dxa" w:w="31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평균 저자, 다기관·국제협력 상대수준</w:t>
            </w:r>
          </w:p>
        </w:tc>
        <w:tc>
          <w:tcPr>
            <w:tcW w:type="dxa" w:w="294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이론·실험·응용 기술군의 협업 요구를 해석함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6.2 협업 구조의 단계별 축소</w:t>
      </w:r>
    </w:p>
    <w:p>
      <w:r>
        <w:drawing>
          <wp:inline xmlns:a="http://schemas.openxmlformats.org/drawingml/2006/main" xmlns:pic="http://schemas.openxmlformats.org/drawingml/2006/picture">
            <wp:extent cx="6408000" cy="28352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6_1_funn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2835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6-1. 협업 구조의 단계별 축소: 전체 논문→공동저자→다기관→국제협력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공동저자 연구는 2,113건·88.0%로 확인되어 팀 연구가 양자 분야의 기본 수행 방식으로 정착된 것으로 보임.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다기관 연구는 710건·29.6%로 공동저자 연구의 약 33.6%에 해당하여 다수의 공저가 동일 기관 내부에서 이루어짐.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국제협력 연구는 241건·10.0%이며 기관 국가 확인 논문 1,998건 기준으로는 12.1%로 산출됨.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연구자 수준의 협업은 보편적이나 기관·국가 경계를 넘는 협업은 장비·인프라·실증·표준·정책 조건이 충족되는 경우 선택적으로 형성되는 구조로 판단함.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6-2. 협업 구조 핵심 지표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09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지표</w:t>
            </w:r>
          </w:p>
        </w:tc>
        <w:tc>
          <w:tcPr>
            <w:tcW w:type="dxa" w:w="272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값</w:t>
            </w:r>
          </w:p>
        </w:tc>
        <w:tc>
          <w:tcPr>
            <w:tcW w:type="dxa" w:w="294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보조 해석</w:t>
            </w:r>
          </w:p>
        </w:tc>
        <w:tc>
          <w:tcPr>
            <w:tcW w:type="dxa" w:w="306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전략적 의미</w:t>
            </w:r>
          </w:p>
        </w:tc>
      </w:tr>
      <w:tr>
        <w:tc>
          <w:tcPr>
            <w:tcW w:type="dxa" w:w="209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분석 논문</w:t>
            </w:r>
          </w:p>
        </w:tc>
        <w:tc>
          <w:tcPr>
            <w:tcW w:type="dxa" w:w="272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2,400건</w:t>
            </w:r>
          </w:p>
        </w:tc>
        <w:tc>
          <w:tcPr>
            <w:tcW w:type="dxa" w:w="294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2026년 6월 부분월 27건 제외</w:t>
            </w:r>
          </w:p>
        </w:tc>
        <w:tc>
          <w:tcPr>
            <w:tcW w:type="dxa" w:w="306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모든 협업 지표의 공통 분모로 사용함</w:t>
            </w:r>
          </w:p>
        </w:tc>
      </w:tr>
      <w:tr>
        <w:tc>
          <w:tcPr>
            <w:tcW w:type="dxa" w:w="209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공동저자</w:t>
            </w:r>
          </w:p>
        </w:tc>
        <w:tc>
          <w:tcPr>
            <w:tcW w:type="dxa" w:w="272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2,113건·88.0%</w:t>
            </w:r>
          </w:p>
        </w:tc>
        <w:tc>
          <w:tcPr>
            <w:tcW w:type="dxa" w:w="294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단독 연구 287건·12.0%</w:t>
            </w:r>
          </w:p>
        </w:tc>
        <w:tc>
          <w:tcPr>
            <w:tcW w:type="dxa" w:w="306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팀 기반 연구가 보편적임</w:t>
            </w:r>
          </w:p>
        </w:tc>
      </w:tr>
      <w:tr>
        <w:tc>
          <w:tcPr>
            <w:tcW w:type="dxa" w:w="209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평균 / 중앙 저자</w:t>
            </w:r>
          </w:p>
        </w:tc>
        <w:tc>
          <w:tcPr>
            <w:tcW w:type="dxa" w:w="272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5.41명 / 4명</w:t>
            </w:r>
          </w:p>
        </w:tc>
        <w:tc>
          <w:tcPr>
            <w:tcW w:type="dxa" w:w="294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대형팀이 평균을 상승시킴</w:t>
            </w:r>
          </w:p>
        </w:tc>
        <w:tc>
          <w:tcPr>
            <w:tcW w:type="dxa" w:w="306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전형적 팀은 4인 내외로 해석함</w:t>
            </w:r>
          </w:p>
        </w:tc>
      </w:tr>
      <w:tr>
        <w:tc>
          <w:tcPr>
            <w:tcW w:type="dxa" w:w="209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다기관</w:t>
            </w:r>
          </w:p>
        </w:tc>
        <w:tc>
          <w:tcPr>
            <w:tcW w:type="dxa" w:w="272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710건·29.6%</w:t>
            </w:r>
          </w:p>
        </w:tc>
        <w:tc>
          <w:tcPr>
            <w:tcW w:type="dxa" w:w="294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평균 기관 수 1.44개·중앙값 1개</w:t>
            </w:r>
          </w:p>
        </w:tc>
        <w:tc>
          <w:tcPr>
            <w:tcW w:type="dxa" w:w="306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기관 간 협업은 선택적임</w:t>
            </w:r>
          </w:p>
        </w:tc>
      </w:tr>
      <w:tr>
        <w:tc>
          <w:tcPr>
            <w:tcW w:type="dxa" w:w="209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국제협력</w:t>
            </w:r>
          </w:p>
        </w:tc>
        <w:tc>
          <w:tcPr>
            <w:tcW w:type="dxa" w:w="272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241건·10.0%</w:t>
            </w:r>
          </w:p>
        </w:tc>
        <w:tc>
          <w:tcPr>
            <w:tcW w:type="dxa" w:w="294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국가 확인 논문 기준 12.1%</w:t>
            </w:r>
          </w:p>
        </w:tc>
        <w:tc>
          <w:tcPr>
            <w:tcW w:type="dxa" w:w="306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허브국가 중심의 제한적 개방성을 보임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6.3 공저 규모: 소·중규모 팀과 대형 컨소시엄의 공존</w:t>
      </w:r>
    </w:p>
    <w:p>
      <w:r>
        <w:drawing>
          <wp:inline xmlns:a="http://schemas.openxmlformats.org/drawingml/2006/main" xmlns:pic="http://schemas.openxmlformats.org/drawingml/2006/picture">
            <wp:extent cx="6480000" cy="29854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6_2_te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985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6-2. 공저 규모 분포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2인 435건, 3인 452건, 4인 397건으로 2~4인 연구가 1,284건·53.5%를 차지하여 전형적인 협업 단위가 소·중규모 팀으로 나타남.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5~9인 연구는 659건·27.5%로 확인되어 소자 제작, 실험 검증, 알고리즘·제어·데이터 분석이 결합되는 중형팀도 의미 있는 비중을 보임.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10명 이상 대형 공동연구는 170건·7.1%로 나타나 대형 장비, 다중 실험사이트, 검증형 연구, 국제 컨소시엄 가능성을 보여줌.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저자 수 90분위 8명, 95분위 11명, 99분위 22명, 최대 732명으로 확인되어 평균 저자 수는 대형 논문에 민감하므로 중앙값과 구간별 분포를 우선 해석함.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6-3. 공저 규모별 논문 분포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192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공저 규모</w:t>
            </w:r>
          </w:p>
        </w:tc>
        <w:tc>
          <w:tcPr>
            <w:tcW w:type="dxa" w:w="192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논문 수</w:t>
            </w:r>
          </w:p>
        </w:tc>
        <w:tc>
          <w:tcPr>
            <w:tcW w:type="dxa" w:w="187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비중</w:t>
            </w:r>
          </w:p>
        </w:tc>
        <w:tc>
          <w:tcPr>
            <w:tcW w:type="dxa" w:w="4989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구조적 해석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1명</w:t>
            </w:r>
          </w:p>
        </w:tc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287</w:t>
            </w:r>
          </w:p>
        </w:tc>
        <w:tc>
          <w:tcPr>
            <w:tcW w:type="dxa" w:w="187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12.0%</w:t>
            </w:r>
          </w:p>
        </w:tc>
        <w:tc>
          <w:tcPr>
            <w:tcW w:type="dxa" w:w="498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단독 연구</w:t>
            </w:r>
          </w:p>
        </w:tc>
      </w:tr>
      <w:tr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2명</w:t>
            </w:r>
          </w:p>
        </w:tc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435</w:t>
            </w:r>
          </w:p>
        </w:tc>
        <w:tc>
          <w:tcPr>
            <w:tcW w:type="dxa" w:w="187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18.1%</w:t>
            </w:r>
          </w:p>
        </w:tc>
        <w:tc>
          <w:tcPr>
            <w:tcW w:type="dxa" w:w="498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핵심 소·중규모 팀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3명</w:t>
            </w:r>
          </w:p>
        </w:tc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452</w:t>
            </w:r>
          </w:p>
        </w:tc>
        <w:tc>
          <w:tcPr>
            <w:tcW w:type="dxa" w:w="187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18.8%</w:t>
            </w:r>
          </w:p>
        </w:tc>
        <w:tc>
          <w:tcPr>
            <w:tcW w:type="dxa" w:w="498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핵심 소·중규모 팀</w:t>
            </w:r>
          </w:p>
        </w:tc>
      </w:tr>
      <w:tr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4명</w:t>
            </w:r>
          </w:p>
        </w:tc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397</w:t>
            </w:r>
          </w:p>
        </w:tc>
        <w:tc>
          <w:tcPr>
            <w:tcW w:type="dxa" w:w="187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16.5%</w:t>
            </w:r>
          </w:p>
        </w:tc>
        <w:tc>
          <w:tcPr>
            <w:tcW w:type="dxa" w:w="498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핵심 소·중규모 팀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5명</w:t>
            </w:r>
          </w:p>
        </w:tc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230</w:t>
            </w:r>
          </w:p>
        </w:tc>
        <w:tc>
          <w:tcPr>
            <w:tcW w:type="dxa" w:w="187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9.6%</w:t>
            </w:r>
          </w:p>
        </w:tc>
        <w:tc>
          <w:tcPr>
            <w:tcW w:type="dxa" w:w="498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중형 협업팀</w:t>
            </w:r>
          </w:p>
        </w:tc>
      </w:tr>
      <w:tr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6명</w:t>
            </w:r>
          </w:p>
        </w:tc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167</w:t>
            </w:r>
          </w:p>
        </w:tc>
        <w:tc>
          <w:tcPr>
            <w:tcW w:type="dxa" w:w="187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7.0%</w:t>
            </w:r>
          </w:p>
        </w:tc>
        <w:tc>
          <w:tcPr>
            <w:tcW w:type="dxa" w:w="498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중형 협업팀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7명</w:t>
            </w:r>
          </w:p>
        </w:tc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123</w:t>
            </w:r>
          </w:p>
        </w:tc>
        <w:tc>
          <w:tcPr>
            <w:tcW w:type="dxa" w:w="187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5.1%</w:t>
            </w:r>
          </w:p>
        </w:tc>
        <w:tc>
          <w:tcPr>
            <w:tcW w:type="dxa" w:w="498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중형 협업팀</w:t>
            </w:r>
          </w:p>
        </w:tc>
      </w:tr>
      <w:tr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8명</w:t>
            </w:r>
          </w:p>
        </w:tc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91</w:t>
            </w:r>
          </w:p>
        </w:tc>
        <w:tc>
          <w:tcPr>
            <w:tcW w:type="dxa" w:w="187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3.8%</w:t>
            </w:r>
          </w:p>
        </w:tc>
        <w:tc>
          <w:tcPr>
            <w:tcW w:type="dxa" w:w="498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중형 협업팀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9명</w:t>
            </w:r>
          </w:p>
        </w:tc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48</w:t>
            </w:r>
          </w:p>
        </w:tc>
        <w:tc>
          <w:tcPr>
            <w:tcW w:type="dxa" w:w="187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2.0%</w:t>
            </w:r>
          </w:p>
        </w:tc>
        <w:tc>
          <w:tcPr>
            <w:tcW w:type="dxa" w:w="498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중형 협업팀</w:t>
            </w:r>
          </w:p>
        </w:tc>
      </w:tr>
      <w:tr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10명 이상</w:t>
            </w:r>
          </w:p>
        </w:tc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170</w:t>
            </w:r>
          </w:p>
        </w:tc>
        <w:tc>
          <w:tcPr>
            <w:tcW w:type="dxa" w:w="187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7.1%</w:t>
            </w:r>
          </w:p>
        </w:tc>
        <w:tc>
          <w:tcPr>
            <w:tcW w:type="dxa" w:w="498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대형 실험·컨소시엄형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6.4 월별 협업 구조 변화</w:t>
      </w:r>
    </w:p>
    <w:p>
      <w:r>
        <w:drawing>
          <wp:inline xmlns:a="http://schemas.openxmlformats.org/drawingml/2006/main" xmlns:pic="http://schemas.openxmlformats.org/drawingml/2006/picture">
            <wp:extent cx="6516000" cy="29098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6_3_monthl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16000" cy="2909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6-3. 월별 공동저자·다기관·국제협력 비율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공동저자 비율은 전 기간 82.7~94.0%로 높게 유지되어 월별 논문 수 증감과 무관하게 팀 연구 중심 구조가 안정적으로 지속됨.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다기관 비율은 2025년 9월 36.1%로 가장 높고 2025년 6월 22.0%로 가장 낮아 특정 월의 실험·응용 주제 구성에 따라 변동하는 것으로 보임.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국제협력 비율은 2025년 10월 14.8%로 최고, 2025년 8월 5.5%로 최저이며 월별 차이가 약 9.3%p로 확인됨.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2026년 3~5월 논문 수는 높은 수준을 유지하였으나 국제협력률은 9.0%→8.2%→6.4%로 하락하여 연구량 증가가 반드시 국제협력 확대로 이어지지 않음을 보임.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논문 수와 협업률의 탐색적 상관은 공동저자 -0.42, 다기관 +0.10, 국제협력 +0.09로 나타나 12개월 표본에서는 연구량과 협업 강도의 직접 연동성이 제한적으로 보임.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6-4. 월별 협업 지표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  <w:gridCol w:w="1729"/>
      </w:tblGrid>
      <w:tr>
        <w:tc>
          <w:tcPr>
            <w:tcW w:type="dxa" w:w="153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월</w:t>
            </w:r>
          </w:p>
        </w:tc>
        <w:tc>
          <w:tcPr>
            <w:tcW w:type="dxa" w:w="1417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논문 수</w:t>
            </w:r>
          </w:p>
        </w:tc>
        <w:tc>
          <w:tcPr>
            <w:tcW w:type="dxa" w:w="1587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평균 저자</w:t>
            </w:r>
          </w:p>
        </w:tc>
        <w:tc>
          <w:tcPr>
            <w:tcW w:type="dxa" w:w="170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공동저자</w:t>
            </w:r>
          </w:p>
        </w:tc>
        <w:tc>
          <w:tcPr>
            <w:tcW w:type="dxa" w:w="170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다기관</w:t>
            </w:r>
          </w:p>
        </w:tc>
        <w:tc>
          <w:tcPr>
            <w:tcW w:type="dxa" w:w="170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국제협력</w:t>
            </w:r>
          </w:p>
        </w:tc>
      </w:tr>
      <w:tr>
        <w:tc>
          <w:tcPr>
            <w:tcW w:type="dxa" w:w="153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2025-06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182</w:t>
            </w:r>
          </w:p>
        </w:tc>
        <w:tc>
          <w:tcPr>
            <w:tcW w:type="dxa" w:w="158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9.42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94.0%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22.0%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7.7%</w:t>
            </w:r>
          </w:p>
        </w:tc>
      </w:tr>
      <w:tr>
        <w:tc>
          <w:tcPr>
            <w:tcW w:type="dxa" w:w="153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2025-07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187</w:t>
            </w:r>
          </w:p>
        </w:tc>
        <w:tc>
          <w:tcPr>
            <w:tcW w:type="dxa" w:w="158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4.26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87.2%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29.9%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11.2%</w:t>
            </w:r>
          </w:p>
        </w:tc>
      </w:tr>
      <w:tr>
        <w:tc>
          <w:tcPr>
            <w:tcW w:type="dxa" w:w="153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2025-08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183</w:t>
            </w:r>
          </w:p>
        </w:tc>
        <w:tc>
          <w:tcPr>
            <w:tcW w:type="dxa" w:w="158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4.66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86.9%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25.7%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5.5%</w:t>
            </w:r>
          </w:p>
        </w:tc>
      </w:tr>
      <w:tr>
        <w:tc>
          <w:tcPr>
            <w:tcW w:type="dxa" w:w="153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2025-09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219</w:t>
            </w:r>
          </w:p>
        </w:tc>
        <w:tc>
          <w:tcPr>
            <w:tcW w:type="dxa" w:w="158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4.76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90.4%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36.1%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11.0%</w:t>
            </w:r>
          </w:p>
        </w:tc>
      </w:tr>
      <w:tr>
        <w:tc>
          <w:tcPr>
            <w:tcW w:type="dxa" w:w="153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2025-10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229</w:t>
            </w:r>
          </w:p>
        </w:tc>
        <w:tc>
          <w:tcPr>
            <w:tcW w:type="dxa" w:w="158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5.77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90.4%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30.6%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14.8%</w:t>
            </w:r>
          </w:p>
        </w:tc>
      </w:tr>
      <w:tr>
        <w:tc>
          <w:tcPr>
            <w:tcW w:type="dxa" w:w="153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2025-11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171</w:t>
            </w:r>
          </w:p>
        </w:tc>
        <w:tc>
          <w:tcPr>
            <w:tcW w:type="dxa" w:w="158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5.53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92.4%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31.0%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12.3%</w:t>
            </w:r>
          </w:p>
        </w:tc>
      </w:tr>
      <w:tr>
        <w:tc>
          <w:tcPr>
            <w:tcW w:type="dxa" w:w="153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2025-12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227</w:t>
            </w:r>
          </w:p>
        </w:tc>
        <w:tc>
          <w:tcPr>
            <w:tcW w:type="dxa" w:w="158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5.47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84.1%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30.0%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11.9%</w:t>
            </w:r>
          </w:p>
        </w:tc>
      </w:tr>
      <w:tr>
        <w:tc>
          <w:tcPr>
            <w:tcW w:type="dxa" w:w="153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2026-01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186</w:t>
            </w:r>
          </w:p>
        </w:tc>
        <w:tc>
          <w:tcPr>
            <w:tcW w:type="dxa" w:w="158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4.77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88.7%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31.2%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10.8%</w:t>
            </w:r>
          </w:p>
        </w:tc>
      </w:tr>
      <w:tr>
        <w:tc>
          <w:tcPr>
            <w:tcW w:type="dxa" w:w="153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2026-02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165</w:t>
            </w:r>
          </w:p>
        </w:tc>
        <w:tc>
          <w:tcPr>
            <w:tcW w:type="dxa" w:w="158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8.90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87.9%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33.3%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11.5%</w:t>
            </w:r>
          </w:p>
        </w:tc>
      </w:tr>
      <w:tr>
        <w:tc>
          <w:tcPr>
            <w:tcW w:type="dxa" w:w="153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2026-03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211</w:t>
            </w:r>
          </w:p>
        </w:tc>
        <w:tc>
          <w:tcPr>
            <w:tcW w:type="dxa" w:w="158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4.56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87.2%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28.9%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9.0%</w:t>
            </w:r>
          </w:p>
        </w:tc>
      </w:tr>
      <w:tr>
        <w:tc>
          <w:tcPr>
            <w:tcW w:type="dxa" w:w="153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2026-04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220</w:t>
            </w:r>
          </w:p>
        </w:tc>
        <w:tc>
          <w:tcPr>
            <w:tcW w:type="dxa" w:w="158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4.01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86.4%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30.0%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8.2%</w:t>
            </w:r>
          </w:p>
        </w:tc>
      </w:tr>
      <w:tr>
        <w:tc>
          <w:tcPr>
            <w:tcW w:type="dxa" w:w="153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2026-05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220</w:t>
            </w:r>
          </w:p>
        </w:tc>
        <w:tc>
          <w:tcPr>
            <w:tcW w:type="dxa" w:w="158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3.98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82.7%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25.9%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6.4%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6.5 월별 평균 저자 수와 대형 공동연구 영향</w:t>
      </w:r>
    </w:p>
    <w:p>
      <w:r>
        <w:drawing>
          <wp:inline xmlns:a="http://schemas.openxmlformats.org/drawingml/2006/main" xmlns:pic="http://schemas.openxmlformats.org/drawingml/2006/picture">
            <wp:extent cx="6480000" cy="26101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6_4_avg_autho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610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6-4. 월별 평균 저자 수와 대형 공동연구 영향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2025년 6월 평균 9.42명과 2026년 2월 평균 8.90명은 다른 월보다 크게 높아 일부 대형 공동연구 논문의 영향이 집중된 것으로 판단함.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2026년 4~5월 평균 저자 수는 각각 4.01명, 3.98명으로 낮지만 논문 수는 각 220편으로 높아 최근 연구량 증가는 대형 컨소시엄보다 소·중규모 팀의 다수 생산에 의해 형성된 것으로 보임.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월별 평균 저자 수만으로 협업 성숙도를 판단하면 대형 논문의 영향이 과대 반영되므로 공동저자율, 다기관율, 국제협력률, 중앙값을 함께 적용함.</w:t>
      </w: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6.6 전·후반기 협업 강도 비교</w:t>
      </w:r>
    </w:p>
    <w:p>
      <w:r>
        <w:drawing>
          <wp:inline xmlns:a="http://schemas.openxmlformats.org/drawingml/2006/main" xmlns:pic="http://schemas.openxmlformats.org/drawingml/2006/picture">
            <wp:extent cx="6048000" cy="3063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6_8_hal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63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6-5. 전·후반 6개월 협업 강도 비교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논문 수 가중 공동저자 비율은 전반기 90.2%에서 후반기 86.0%로 낮아졌으나 여전히 80%대 후반의 높은 수준을 유지함.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다기관 비율은 전반기 29.5%와 후반기 29.7%로 유사하여 기관 간 협업 강도는 구조적으로 안정적임.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국제협력 비율은 전반기 10.6%에서 후반기 9.5%로 소폭 낮아져 최근 연구량 확대가 국내·단일국 중심 연구 증가와 병행된 가능성이 있음.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반기 비교는 월별 구성효과와 반올림 자료의 영향을 포함한 탐색값이므로 분야·기관·국가별 재집계로 원인을 검증해야 함.</w:t>
      </w: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6.7 기관 간 협업 구조와 데이터 표준화 이슈</w:t>
      </w:r>
    </w:p>
    <w:p>
      <w:r>
        <w:drawing>
          <wp:inline xmlns:a="http://schemas.openxmlformats.org/drawingml/2006/main" xmlns:pic="http://schemas.openxmlformats.org/drawingml/2006/picture">
            <wp:extent cx="6516000" cy="33526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6_7_inst_pai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16000" cy="335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6-6. 기관 협업쌍 TOP10: 기관명 표준화 전 탐색값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논문당 평균 기관 수는 1.44개, 중앙값은 1개로 나타나 다수 논문이 하나의 주관기관을 중심으로 수행됨.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상위 기관쌍의 공동 논문 수는 3~5건으로 낮아 특정 기관쌍이 전체 협업을 지배하는 구조는 확인되지 않음.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MIT↔Mit, Imperial↔Imperial College London처럼 동일기관의 표기 변형이 협업쌍으로 추출되어 기관 네트워크는 표준화 전 확정 순위로 사용할 수 없음.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최종 기관 협업망은 ROR·OpenAlex·Crossref·GRID 식별자를 활용해 대학 본부·부속연구소·학과·약어를 통합한 뒤 재산출해야 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기관쌍 분석의 전략적 가치는 현재 순위보다 장비·소재·알고리즘·실험 인프라를 서로 보완하는 기관 유형을 탐색하는 데 있음.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6-5. 기관 협업쌍 추출값과 검증 필요성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c>
          <w:tcPr>
            <w:tcW w:type="dxa" w:w="680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순위</w:t>
            </w:r>
          </w:p>
        </w:tc>
        <w:tc>
          <w:tcPr>
            <w:tcW w:type="dxa" w:w="4649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기관 협업쌍</w:t>
            </w:r>
          </w:p>
        </w:tc>
        <w:tc>
          <w:tcPr>
            <w:tcW w:type="dxa" w:w="1417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공동 논문</w:t>
            </w:r>
          </w:p>
        </w:tc>
        <w:tc>
          <w:tcPr>
            <w:tcW w:type="dxa" w:w="226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판정</w:t>
            </w:r>
          </w:p>
        </w:tc>
        <w:tc>
          <w:tcPr>
            <w:tcW w:type="dxa" w:w="255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후속 조치</w:t>
            </w:r>
          </w:p>
        </w:tc>
      </w:tr>
      <w:tr>
        <w:tc>
          <w:tcPr>
            <w:tcW w:type="dxa" w:w="68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1</w:t>
            </w:r>
          </w:p>
        </w:tc>
        <w:tc>
          <w:tcPr>
            <w:tcW w:type="dxa" w:w="464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MIT↔Mit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5</w:t>
            </w:r>
          </w:p>
        </w:tc>
        <w:tc>
          <w:tcPr>
            <w:tcW w:type="dxa" w:w="226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동일기관 표기 가능</w:t>
            </w:r>
          </w:p>
        </w:tc>
        <w:tc>
          <w:tcPr>
            <w:tcW w:type="dxa" w:w="255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기관명 표준화 후 재검증</w:t>
            </w:r>
          </w:p>
        </w:tc>
      </w:tr>
      <w:tr>
        <w:tc>
          <w:tcPr>
            <w:tcW w:type="dxa" w:w="68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2</w:t>
            </w:r>
          </w:p>
        </w:tc>
        <w:tc>
          <w:tcPr>
            <w:tcW w:type="dxa" w:w="464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Ahmedabad Univ.↔Univ. of Oklahoma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3</w:t>
            </w:r>
          </w:p>
        </w:tc>
        <w:tc>
          <w:tcPr>
            <w:tcW w:type="dxa" w:w="226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복수기관 신호</w:t>
            </w:r>
          </w:p>
        </w:tc>
        <w:tc>
          <w:tcPr>
            <w:tcW w:type="dxa" w:w="255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기관명 표준화 후 재검증</w:t>
            </w:r>
          </w:p>
        </w:tc>
      </w:tr>
      <w:tr>
        <w:tc>
          <w:tcPr>
            <w:tcW w:type="dxa" w:w="68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3</w:t>
            </w:r>
          </w:p>
        </w:tc>
        <w:tc>
          <w:tcPr>
            <w:tcW w:type="dxa" w:w="464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Beihang Univ.↔Normal Univ.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3</w:t>
            </w:r>
          </w:p>
        </w:tc>
        <w:tc>
          <w:tcPr>
            <w:tcW w:type="dxa" w:w="226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복수기관 신호</w:t>
            </w:r>
          </w:p>
        </w:tc>
        <w:tc>
          <w:tcPr>
            <w:tcW w:type="dxa" w:w="255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기관명 표준화 후 재검증</w:t>
            </w:r>
          </w:p>
        </w:tc>
      </w:tr>
      <w:tr>
        <w:tc>
          <w:tcPr>
            <w:tcW w:type="dxa" w:w="68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4</w:t>
            </w:r>
          </w:p>
        </w:tc>
        <w:tc>
          <w:tcPr>
            <w:tcW w:type="dxa" w:w="464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Hunan Univ.↔Univ. of Technology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3</w:t>
            </w:r>
          </w:p>
        </w:tc>
        <w:tc>
          <w:tcPr>
            <w:tcW w:type="dxa" w:w="226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복수기관 신호</w:t>
            </w:r>
          </w:p>
        </w:tc>
        <w:tc>
          <w:tcPr>
            <w:tcW w:type="dxa" w:w="255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기관명 표준화 후 재검증</w:t>
            </w:r>
          </w:p>
        </w:tc>
      </w:tr>
      <w:tr>
        <w:tc>
          <w:tcPr>
            <w:tcW w:type="dxa" w:w="68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5</w:t>
            </w:r>
          </w:p>
        </w:tc>
        <w:tc>
          <w:tcPr>
            <w:tcW w:type="dxa" w:w="464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Imperial↔Imperial College London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3</w:t>
            </w:r>
          </w:p>
        </w:tc>
        <w:tc>
          <w:tcPr>
            <w:tcW w:type="dxa" w:w="226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동일기관 표기 가능</w:t>
            </w:r>
          </w:p>
        </w:tc>
        <w:tc>
          <w:tcPr>
            <w:tcW w:type="dxa" w:w="255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기관명 표준화 후 재검증</w:t>
            </w:r>
          </w:p>
        </w:tc>
      </w:tr>
      <w:tr>
        <w:tc>
          <w:tcPr>
            <w:tcW w:type="dxa" w:w="68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6</w:t>
            </w:r>
          </w:p>
        </w:tc>
        <w:tc>
          <w:tcPr>
            <w:tcW w:type="dxa" w:w="464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Institut quantique↔U Sherbrooke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3</w:t>
            </w:r>
          </w:p>
        </w:tc>
        <w:tc>
          <w:tcPr>
            <w:tcW w:type="dxa" w:w="226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복수기관 신호</w:t>
            </w:r>
          </w:p>
        </w:tc>
        <w:tc>
          <w:tcPr>
            <w:tcW w:type="dxa" w:w="255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기관명 표준화 후 재검증</w:t>
            </w:r>
          </w:p>
        </w:tc>
      </w:tr>
      <w:tr>
        <w:tc>
          <w:tcPr>
            <w:tcW w:type="dxa" w:w="68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7</w:t>
            </w:r>
          </w:p>
        </w:tc>
        <w:tc>
          <w:tcPr>
            <w:tcW w:type="dxa" w:w="464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Jilin Univ.↔Normal Univ.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3</w:t>
            </w:r>
          </w:p>
        </w:tc>
        <w:tc>
          <w:tcPr>
            <w:tcW w:type="dxa" w:w="226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복수기관 신호</w:t>
            </w:r>
          </w:p>
        </w:tc>
        <w:tc>
          <w:tcPr>
            <w:tcW w:type="dxa" w:w="255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기관명 표준화 후 재검증</w:t>
            </w:r>
          </w:p>
        </w:tc>
      </w:tr>
      <w:tr>
        <w:tc>
          <w:tcPr>
            <w:tcW w:type="dxa" w:w="68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8</w:t>
            </w:r>
          </w:p>
        </w:tc>
        <w:tc>
          <w:tcPr>
            <w:tcW w:type="dxa" w:w="464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Lebedev Physical Institute↔Moscow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3</w:t>
            </w:r>
          </w:p>
        </w:tc>
        <w:tc>
          <w:tcPr>
            <w:tcW w:type="dxa" w:w="226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복수기관 신호</w:t>
            </w:r>
          </w:p>
        </w:tc>
        <w:tc>
          <w:tcPr>
            <w:tcW w:type="dxa" w:w="255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기관명 표준화 후 재검증</w:t>
            </w:r>
          </w:p>
        </w:tc>
      </w:tr>
      <w:tr>
        <w:tc>
          <w:tcPr>
            <w:tcW w:type="dxa" w:w="68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9</w:t>
            </w:r>
          </w:p>
        </w:tc>
        <w:tc>
          <w:tcPr>
            <w:tcW w:type="dxa" w:w="464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Nanjing Univ.↔Normal Univ.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3</w:t>
            </w:r>
          </w:p>
        </w:tc>
        <w:tc>
          <w:tcPr>
            <w:tcW w:type="dxa" w:w="226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복수기관 신호</w:t>
            </w:r>
          </w:p>
        </w:tc>
        <w:tc>
          <w:tcPr>
            <w:tcW w:type="dxa" w:w="255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기관명 표준화 후 재검증</w:t>
            </w:r>
          </w:p>
        </w:tc>
      </w:tr>
      <w:tr>
        <w:tc>
          <w:tcPr>
            <w:tcW w:type="dxa" w:w="68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10</w:t>
            </w:r>
          </w:p>
        </w:tc>
        <w:tc>
          <w:tcPr>
            <w:tcW w:type="dxa" w:w="464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Normal Univ.↔South Univ.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3</w:t>
            </w:r>
          </w:p>
        </w:tc>
        <w:tc>
          <w:tcPr>
            <w:tcW w:type="dxa" w:w="226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복수기관 신호</w:t>
            </w:r>
          </w:p>
        </w:tc>
        <w:tc>
          <w:tcPr>
            <w:tcW w:type="dxa" w:w="255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기관명 표준화 후 재검증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6.8 국가 간 협업쌍: 미국 중심 글로벌 축과 권역형 연결</w:t>
      </w:r>
    </w:p>
    <w:p>
      <w:r>
        <w:drawing>
          <wp:inline xmlns:a="http://schemas.openxmlformats.org/drawingml/2006/main" xmlns:pic="http://schemas.openxmlformats.org/drawingml/2006/picture">
            <wp:extent cx="6480000" cy="32490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6_5_country_pai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249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6-7. 국가 간 국제협력쌍 TOP10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독일–미국, 인도–미국, 영국–미국이 각각 14건으로 최상위 협업축을 형성하여 미국이 다수 권역을 연결하는 중심국으로 확인됨.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중국–홍콩 12건은 권역 내 연구·인력 네트워크의 강도를 보여주며 중국–미국, 중국–싱가포르, 중국–영국은 중국 연구망의 권역 외 확장을 나타냄.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독일–이탈리아는 유럽 내 협력축, 스페인–미국과 스위스–미국은 대서양 연계축으로 해석할 수 있음.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상위 10개 국가쌍의 합계는 104건이나 동일 국제협력 논문이 다수 국가쌍을 생성할 수 있으므로 241건 국제협력 논문과 단순 합산 비교하지 않음.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6-6. 국가 간 협업쌍 TOP10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c>
          <w:tcPr>
            <w:tcW w:type="dxa" w:w="680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순위</w:t>
            </w:r>
          </w:p>
        </w:tc>
        <w:tc>
          <w:tcPr>
            <w:tcW w:type="dxa" w:w="323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국가 협업쌍</w:t>
            </w:r>
          </w:p>
        </w:tc>
        <w:tc>
          <w:tcPr>
            <w:tcW w:type="dxa" w:w="1417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공동 논문</w:t>
            </w:r>
          </w:p>
        </w:tc>
        <w:tc>
          <w:tcPr>
            <w:tcW w:type="dxa" w:w="255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네트워크 유형</w:t>
            </w:r>
          </w:p>
        </w:tc>
        <w:tc>
          <w:tcPr>
            <w:tcW w:type="dxa" w:w="3402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전략적 해석</w:t>
            </w:r>
          </w:p>
        </w:tc>
      </w:tr>
      <w:tr>
        <w:tc>
          <w:tcPr>
            <w:tcW w:type="dxa" w:w="68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1</w:t>
            </w:r>
          </w:p>
        </w:tc>
        <w:tc>
          <w:tcPr>
            <w:tcW w:type="dxa" w:w="323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독일↔미국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14</w:t>
            </w:r>
          </w:p>
        </w:tc>
        <w:tc>
          <w:tcPr>
            <w:tcW w:type="dxa" w:w="255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미국 중심 글로벌축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핵심 파트너 후보 및 기술군별 협력 검증 필요</w:t>
            </w:r>
          </w:p>
        </w:tc>
      </w:tr>
      <w:tr>
        <w:tc>
          <w:tcPr>
            <w:tcW w:type="dxa" w:w="68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2</w:t>
            </w:r>
          </w:p>
        </w:tc>
        <w:tc>
          <w:tcPr>
            <w:tcW w:type="dxa" w:w="323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인도↔미국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14</w:t>
            </w:r>
          </w:p>
        </w:tc>
        <w:tc>
          <w:tcPr>
            <w:tcW w:type="dxa" w:w="255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미국 중심 글로벌축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핵심 파트너 후보 및 기술군별 협력 검증 필요</w:t>
            </w:r>
          </w:p>
        </w:tc>
      </w:tr>
      <w:tr>
        <w:tc>
          <w:tcPr>
            <w:tcW w:type="dxa" w:w="68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3</w:t>
            </w:r>
          </w:p>
        </w:tc>
        <w:tc>
          <w:tcPr>
            <w:tcW w:type="dxa" w:w="323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영국↔미국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14</w:t>
            </w:r>
          </w:p>
        </w:tc>
        <w:tc>
          <w:tcPr>
            <w:tcW w:type="dxa" w:w="255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미국 중심 글로벌축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핵심 파트너 후보 및 기술군별 협력 검증 필요</w:t>
            </w:r>
          </w:p>
        </w:tc>
      </w:tr>
      <w:tr>
        <w:tc>
          <w:tcPr>
            <w:tcW w:type="dxa" w:w="68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4</w:t>
            </w:r>
          </w:p>
        </w:tc>
        <w:tc>
          <w:tcPr>
            <w:tcW w:type="dxa" w:w="323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중국↔홍콩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12</w:t>
            </w:r>
          </w:p>
        </w:tc>
        <w:tc>
          <w:tcPr>
            <w:tcW w:type="dxa" w:w="255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중국 권역·글로벌축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핵심 파트너 후보 및 기술군별 협력 검증 필요</w:t>
            </w:r>
          </w:p>
        </w:tc>
      </w:tr>
      <w:tr>
        <w:tc>
          <w:tcPr>
            <w:tcW w:type="dxa" w:w="68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5</w:t>
            </w:r>
          </w:p>
        </w:tc>
        <w:tc>
          <w:tcPr>
            <w:tcW w:type="dxa" w:w="323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중국↔미국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10</w:t>
            </w:r>
          </w:p>
        </w:tc>
        <w:tc>
          <w:tcPr>
            <w:tcW w:type="dxa" w:w="255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미국 중심 글로벌축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핵심 파트너 후보 및 기술군별 협력 검증 필요</w:t>
            </w:r>
          </w:p>
        </w:tc>
      </w:tr>
      <w:tr>
        <w:tc>
          <w:tcPr>
            <w:tcW w:type="dxa" w:w="68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6</w:t>
            </w:r>
          </w:p>
        </w:tc>
        <w:tc>
          <w:tcPr>
            <w:tcW w:type="dxa" w:w="323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독일↔이탈리아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9</w:t>
            </w:r>
          </w:p>
        </w:tc>
        <w:tc>
          <w:tcPr>
            <w:tcW w:type="dxa" w:w="255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유럽 권역축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핵심 파트너 후보 및 기술군별 협력 검증 필요</w:t>
            </w:r>
          </w:p>
        </w:tc>
      </w:tr>
      <w:tr>
        <w:tc>
          <w:tcPr>
            <w:tcW w:type="dxa" w:w="68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7</w:t>
            </w:r>
          </w:p>
        </w:tc>
        <w:tc>
          <w:tcPr>
            <w:tcW w:type="dxa" w:w="323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중국↔싱가포르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255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중국 권역·글로벌축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핵심 파트너 후보 및 기술군별 협력 검증 필요</w:t>
            </w:r>
          </w:p>
        </w:tc>
      </w:tr>
      <w:tr>
        <w:tc>
          <w:tcPr>
            <w:tcW w:type="dxa" w:w="68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8</w:t>
            </w:r>
          </w:p>
        </w:tc>
        <w:tc>
          <w:tcPr>
            <w:tcW w:type="dxa" w:w="323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중국↔영국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255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중국 권역·글로벌축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핵심 파트너 후보 및 기술군별 협력 검증 필요</w:t>
            </w:r>
          </w:p>
        </w:tc>
      </w:tr>
      <w:tr>
        <w:tc>
          <w:tcPr>
            <w:tcW w:type="dxa" w:w="68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9</w:t>
            </w:r>
          </w:p>
        </w:tc>
        <w:tc>
          <w:tcPr>
            <w:tcW w:type="dxa" w:w="323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스페인↔미국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255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미국 중심 글로벌축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핵심 파트너 후보 및 기술군별 협력 검증 필요</w:t>
            </w:r>
          </w:p>
        </w:tc>
      </w:tr>
      <w:tr>
        <w:tc>
          <w:tcPr>
            <w:tcW w:type="dxa" w:w="68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10</w:t>
            </w:r>
          </w:p>
        </w:tc>
        <w:tc>
          <w:tcPr>
            <w:tcW w:type="dxa" w:w="323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스위스↔미국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7</w:t>
            </w:r>
          </w:p>
        </w:tc>
        <w:tc>
          <w:tcPr>
            <w:tcW w:type="dxa" w:w="255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미국 중심 글로벌축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핵심 파트너 후보 및 기술군별 협력 검증 필요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6.9 국제협력 허브 국가</w:t>
      </w:r>
    </w:p>
    <w:p>
      <w:r>
        <w:drawing>
          <wp:inline xmlns:a="http://schemas.openxmlformats.org/drawingml/2006/main" xmlns:pic="http://schemas.openxmlformats.org/drawingml/2006/picture">
            <wp:extent cx="6480000" cy="289126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6_6_hub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891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6-8. 국제협력 허브 국가: 가중 연결 수와 국제협력 논문 수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미국은 가중 연결 수 133과 국제협력 논문 93건으로 가장 강한 허브성을 보이며 독일·영국·중국이 뒤를 이음.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독일과 영국은 제5장에서 확인한 전체 기관 국가 참여 확대와 협업 네트워크 중심성이 동시에 나타나 국제 공동연구 플랫폼 역할이 강한 것으로 보임.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이탈리아·스페인·프랑스·네덜란드 등 유럽국은 절대 연구량보다 다국가 연결에서 의미 있는 위치를 보이며 EU의 분산형 연구 인프라와 정합적임.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가중 연결 수는 국가쌍 동시출현 횟수의 합으로 실제 상대국 수와 다르며, 정밀한 허브성 판단에는 degree, betweenness, eigenvector centrality를 추가해야 함.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6-7. 국제협력 허브 국가 TOP10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c>
          <w:tcPr>
            <w:tcW w:type="dxa" w:w="680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순위</w:t>
            </w:r>
          </w:p>
        </w:tc>
        <w:tc>
          <w:tcPr>
            <w:tcW w:type="dxa" w:w="1984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국가</w:t>
            </w:r>
          </w:p>
        </w:tc>
        <w:tc>
          <w:tcPr>
            <w:tcW w:type="dxa" w:w="1757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가중 연결 수</w:t>
            </w:r>
          </w:p>
        </w:tc>
        <w:tc>
          <w:tcPr>
            <w:tcW w:type="dxa" w:w="1814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국제협력 논문</w:t>
            </w:r>
          </w:p>
        </w:tc>
        <w:tc>
          <w:tcPr>
            <w:tcW w:type="dxa" w:w="4762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구조적 해석</w:t>
            </w:r>
          </w:p>
        </w:tc>
      </w:tr>
      <w:tr>
        <w:tc>
          <w:tcPr>
            <w:tcW w:type="dxa" w:w="68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1</w:t>
            </w:r>
          </w:p>
        </w:tc>
        <w:tc>
          <w:tcPr>
            <w:tcW w:type="dxa" w:w="198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미국</w:t>
            </w:r>
          </w:p>
        </w:tc>
        <w:tc>
          <w:tcPr>
            <w:tcW w:type="dxa" w:w="175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133</w:t>
            </w:r>
          </w:p>
        </w:tc>
        <w:tc>
          <w:tcPr>
            <w:tcW w:type="dxa" w:w="181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93</w:t>
            </w:r>
          </w:p>
        </w:tc>
        <w:tc>
          <w:tcPr>
            <w:tcW w:type="dxa" w:w="476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최상위 글로벌 허브</w:t>
            </w:r>
          </w:p>
        </w:tc>
      </w:tr>
      <w:tr>
        <w:tc>
          <w:tcPr>
            <w:tcW w:type="dxa" w:w="68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2</w:t>
            </w:r>
          </w:p>
        </w:tc>
        <w:tc>
          <w:tcPr>
            <w:tcW w:type="dxa" w:w="198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독일</w:t>
            </w:r>
          </w:p>
        </w:tc>
        <w:tc>
          <w:tcPr>
            <w:tcW w:type="dxa" w:w="175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79</w:t>
            </w:r>
          </w:p>
        </w:tc>
        <w:tc>
          <w:tcPr>
            <w:tcW w:type="dxa" w:w="181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54</w:t>
            </w:r>
          </w:p>
        </w:tc>
        <w:tc>
          <w:tcPr>
            <w:tcW w:type="dxa" w:w="476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주요 국제협력 허브</w:t>
            </w:r>
          </w:p>
        </w:tc>
      </w:tr>
      <w:tr>
        <w:tc>
          <w:tcPr>
            <w:tcW w:type="dxa" w:w="68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3</w:t>
            </w:r>
          </w:p>
        </w:tc>
        <w:tc>
          <w:tcPr>
            <w:tcW w:type="dxa" w:w="198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영국</w:t>
            </w:r>
          </w:p>
        </w:tc>
        <w:tc>
          <w:tcPr>
            <w:tcW w:type="dxa" w:w="175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73</w:t>
            </w:r>
          </w:p>
        </w:tc>
        <w:tc>
          <w:tcPr>
            <w:tcW w:type="dxa" w:w="181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51</w:t>
            </w:r>
          </w:p>
        </w:tc>
        <w:tc>
          <w:tcPr>
            <w:tcW w:type="dxa" w:w="476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주요 국제협력 허브</w:t>
            </w:r>
          </w:p>
        </w:tc>
      </w:tr>
      <w:tr>
        <w:tc>
          <w:tcPr>
            <w:tcW w:type="dxa" w:w="68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4</w:t>
            </w:r>
          </w:p>
        </w:tc>
        <w:tc>
          <w:tcPr>
            <w:tcW w:type="dxa" w:w="198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중국</w:t>
            </w:r>
          </w:p>
        </w:tc>
        <w:tc>
          <w:tcPr>
            <w:tcW w:type="dxa" w:w="175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66</w:t>
            </w:r>
          </w:p>
        </w:tc>
        <w:tc>
          <w:tcPr>
            <w:tcW w:type="dxa" w:w="181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44</w:t>
            </w:r>
          </w:p>
        </w:tc>
        <w:tc>
          <w:tcPr>
            <w:tcW w:type="dxa" w:w="476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주요 국제협력 허브</w:t>
            </w:r>
          </w:p>
        </w:tc>
      </w:tr>
      <w:tr>
        <w:tc>
          <w:tcPr>
            <w:tcW w:type="dxa" w:w="68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5</w:t>
            </w:r>
          </w:p>
        </w:tc>
        <w:tc>
          <w:tcPr>
            <w:tcW w:type="dxa" w:w="198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이탈리아</w:t>
            </w:r>
          </w:p>
        </w:tc>
        <w:tc>
          <w:tcPr>
            <w:tcW w:type="dxa" w:w="175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54</w:t>
            </w:r>
          </w:p>
        </w:tc>
        <w:tc>
          <w:tcPr>
            <w:tcW w:type="dxa" w:w="181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28</w:t>
            </w:r>
          </w:p>
        </w:tc>
        <w:tc>
          <w:tcPr>
            <w:tcW w:type="dxa" w:w="476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권역·브리지 허브 후보</w:t>
            </w:r>
          </w:p>
        </w:tc>
      </w:tr>
      <w:tr>
        <w:tc>
          <w:tcPr>
            <w:tcW w:type="dxa" w:w="68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6</w:t>
            </w:r>
          </w:p>
        </w:tc>
        <w:tc>
          <w:tcPr>
            <w:tcW w:type="dxa" w:w="198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인도</w:t>
            </w:r>
          </w:p>
        </w:tc>
        <w:tc>
          <w:tcPr>
            <w:tcW w:type="dxa" w:w="175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44</w:t>
            </w:r>
          </w:p>
        </w:tc>
        <w:tc>
          <w:tcPr>
            <w:tcW w:type="dxa" w:w="181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22</w:t>
            </w:r>
          </w:p>
        </w:tc>
        <w:tc>
          <w:tcPr>
            <w:tcW w:type="dxa" w:w="476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권역·브리지 허브 후보</w:t>
            </w:r>
          </w:p>
        </w:tc>
      </w:tr>
      <w:tr>
        <w:tc>
          <w:tcPr>
            <w:tcW w:type="dxa" w:w="68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7</w:t>
            </w:r>
          </w:p>
        </w:tc>
        <w:tc>
          <w:tcPr>
            <w:tcW w:type="dxa" w:w="198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스페인</w:t>
            </w:r>
          </w:p>
        </w:tc>
        <w:tc>
          <w:tcPr>
            <w:tcW w:type="dxa" w:w="175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35</w:t>
            </w:r>
          </w:p>
        </w:tc>
        <w:tc>
          <w:tcPr>
            <w:tcW w:type="dxa" w:w="181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25</w:t>
            </w:r>
          </w:p>
        </w:tc>
        <w:tc>
          <w:tcPr>
            <w:tcW w:type="dxa" w:w="476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권역·브리지 허브 후보</w:t>
            </w:r>
          </w:p>
        </w:tc>
      </w:tr>
      <w:tr>
        <w:tc>
          <w:tcPr>
            <w:tcW w:type="dxa" w:w="68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8</w:t>
            </w:r>
          </w:p>
        </w:tc>
        <w:tc>
          <w:tcPr>
            <w:tcW w:type="dxa" w:w="198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폴란드</w:t>
            </w:r>
          </w:p>
        </w:tc>
        <w:tc>
          <w:tcPr>
            <w:tcW w:type="dxa" w:w="175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30</w:t>
            </w:r>
          </w:p>
        </w:tc>
        <w:tc>
          <w:tcPr>
            <w:tcW w:type="dxa" w:w="181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12</w:t>
            </w:r>
          </w:p>
        </w:tc>
        <w:tc>
          <w:tcPr>
            <w:tcW w:type="dxa" w:w="476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권역·브리지 허브 후보</w:t>
            </w:r>
          </w:p>
        </w:tc>
      </w:tr>
      <w:tr>
        <w:tc>
          <w:tcPr>
            <w:tcW w:type="dxa" w:w="68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9</w:t>
            </w:r>
          </w:p>
        </w:tc>
        <w:tc>
          <w:tcPr>
            <w:tcW w:type="dxa" w:w="198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프랑스</w:t>
            </w:r>
          </w:p>
        </w:tc>
        <w:tc>
          <w:tcPr>
            <w:tcW w:type="dxa" w:w="175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30</w:t>
            </w:r>
          </w:p>
        </w:tc>
        <w:tc>
          <w:tcPr>
            <w:tcW w:type="dxa" w:w="181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24</w:t>
            </w:r>
          </w:p>
        </w:tc>
        <w:tc>
          <w:tcPr>
            <w:tcW w:type="dxa" w:w="476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권역·브리지 허브 후보</w:t>
            </w:r>
          </w:p>
        </w:tc>
      </w:tr>
      <w:tr>
        <w:tc>
          <w:tcPr>
            <w:tcW w:type="dxa" w:w="68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10</w:t>
            </w:r>
          </w:p>
        </w:tc>
        <w:tc>
          <w:tcPr>
            <w:tcW w:type="dxa" w:w="198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네덜란드</w:t>
            </w:r>
          </w:p>
        </w:tc>
        <w:tc>
          <w:tcPr>
            <w:tcW w:type="dxa" w:w="175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26</w:t>
            </w:r>
          </w:p>
        </w:tc>
        <w:tc>
          <w:tcPr>
            <w:tcW w:type="dxa" w:w="181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13</w:t>
            </w:r>
          </w:p>
        </w:tc>
        <w:tc>
          <w:tcPr>
            <w:tcW w:type="dxa" w:w="476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권역·브리지 허브 후보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6.10 분야별 협업 강도: 이론·실험·응용의 차이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양자물리(quant-ph)는 압도적인 논문 규모와 높은 공동저자 비율을 동시에 유지하여 분야 전체의 기본 협업 플랫폼으로 기능함.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컴퓨터 비전(cs.CV), 기계학습(cs.LG), 신호처리(eess.SP)는 표본 규모는 작지만 다기관 협업이 상대적으로 높아 데이터·알고리즘·시스템 전문성의 결합이 중요한 것으로 보임.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메조스코픽/홀 효과(cond-mat.mes-hall)와 광학(physics.optics)은 장비·측정·소자 제작이 요구되어 평균 저자 수와 다기관 협업이 높은 실험·인프라형 영역으로 해석함.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고에너지 물리 이론(hep-th), 일반상대론/양자중력(gr-qc)은 상대적으로 소규모 팀과 낮은 국제협력 비율이 유지되는 이론형 연구 구조가 일부 나타남.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정확한 분야별 협업률은 주 카테고리 표본 수와 국가정보 커버리지를 함께 제시하고, 복수 카테고리 논문과 기술군 재분류 기준으로 재산출해야 함.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6-8. 분야 유형별 협업 구조 해석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c>
          <w:tcPr>
            <w:tcW w:type="dxa" w:w="170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분야 유형</w:t>
            </w:r>
          </w:p>
        </w:tc>
        <w:tc>
          <w:tcPr>
            <w:tcW w:type="dxa" w:w="328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대표 카테고리</w:t>
            </w:r>
          </w:p>
        </w:tc>
        <w:tc>
          <w:tcPr>
            <w:tcW w:type="dxa" w:w="2494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상대적 협업 구조</w:t>
            </w:r>
          </w:p>
        </w:tc>
        <w:tc>
          <w:tcPr>
            <w:tcW w:type="dxa" w:w="294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필요 자원·전문성</w:t>
            </w:r>
          </w:p>
        </w:tc>
        <w:tc>
          <w:tcPr>
            <w:tcW w:type="dxa" w:w="2494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후속 분석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핵심 양자물리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양자물리(quant-ph)</w:t>
            </w:r>
          </w:p>
        </w:tc>
        <w:tc>
          <w:tcPr>
            <w:tcW w:type="dxa" w:w="24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공동저자 보편·다기관 중간</w:t>
            </w:r>
          </w:p>
        </w:tc>
        <w:tc>
          <w:tcPr>
            <w:tcW w:type="dxa" w:w="294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이론·실험·알고리즘 공통 기반</w:t>
            </w:r>
          </w:p>
        </w:tc>
        <w:tc>
          <w:tcPr>
            <w:tcW w:type="dxa" w:w="24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세부 플랫폼별 분해</w:t>
            </w:r>
          </w:p>
        </w:tc>
      </w:tr>
      <w:tr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AI·데이터·공학</w:t>
            </w:r>
          </w:p>
        </w:tc>
        <w:tc>
          <w:tcPr>
            <w:tcW w:type="dxa" w:w="328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기계학습(cs.LG), 컴퓨터 비전(cs.CV), 신호처리(eess.SP)</w:t>
            </w:r>
          </w:p>
        </w:tc>
        <w:tc>
          <w:tcPr>
            <w:tcW w:type="dxa" w:w="249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다기관 상대적 높음</w:t>
            </w:r>
          </w:p>
        </w:tc>
        <w:tc>
          <w:tcPr>
            <w:tcW w:type="dxa" w:w="294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데이터·SW·제어·응용기관 결합</w:t>
            </w:r>
          </w:p>
        </w:tc>
        <w:tc>
          <w:tcPr>
            <w:tcW w:type="dxa" w:w="249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기관유형·기업 참여 분석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소자·물성·광학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메조스코픽/홀 효과, 강상관 전자, 광학</w:t>
            </w:r>
          </w:p>
        </w:tc>
        <w:tc>
          <w:tcPr>
            <w:tcW w:type="dxa" w:w="24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저자·다기관 규모 높음</w:t>
            </w:r>
          </w:p>
        </w:tc>
        <w:tc>
          <w:tcPr>
            <w:tcW w:type="dxa" w:w="294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장비·공정·광원·극저온·측정</w:t>
            </w:r>
          </w:p>
        </w:tc>
        <w:tc>
          <w:tcPr>
            <w:tcW w:type="dxa" w:w="24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시설·공급망 협업 분석</w:t>
            </w:r>
          </w:p>
        </w:tc>
      </w:tr>
      <w:tr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이론·수리</w:t>
            </w:r>
          </w:p>
        </w:tc>
        <w:tc>
          <w:tcPr>
            <w:tcW w:type="dxa" w:w="328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고에너지 이론, 일반상대론/양자중력, 수리물리</w:t>
            </w:r>
          </w:p>
        </w:tc>
        <w:tc>
          <w:tcPr>
            <w:tcW w:type="dxa" w:w="249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소규모 팀·국제협력 상대적 낮음</w:t>
            </w:r>
          </w:p>
        </w:tc>
        <w:tc>
          <w:tcPr>
            <w:tcW w:type="dxa" w:w="294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이론·모델·수학적 전문성</w:t>
            </w:r>
          </w:p>
        </w:tc>
        <w:tc>
          <w:tcPr>
            <w:tcW w:type="dxa" w:w="249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인용·공동저자 지식망 분석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통신·보안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암호/보안(cs.CR), 광학, 양자물리</w:t>
            </w:r>
          </w:p>
        </w:tc>
        <w:tc>
          <w:tcPr>
            <w:tcW w:type="dxa" w:w="24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표준·실증 중심 선택적 협업</w:t>
            </w:r>
          </w:p>
        </w:tc>
        <w:tc>
          <w:tcPr>
            <w:tcW w:type="dxa" w:w="294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통신사·장비사·표준기관·보안기관</w:t>
            </w:r>
          </w:p>
        </w:tc>
        <w:tc>
          <w:tcPr>
            <w:tcW w:type="dxa" w:w="24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QKD·PQC·네트워크 실증 분석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6.11 최신 정책·표준화 환경과 협업 구조의 통합 해석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미국 NQI는 과학·인력·산업·인프라·안보·국제협력을 정책축으로 제시하고, 독일·한국·영국·일본 등과 양자 협력 공동성명을 추진함. 독일–미국과 영국–미국이 최상위 협업쌍으로 확인된 결과는 이러한 제도적 협력 기반과 구조적으로 부합함 [R1].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미국 NQI 보고서는 미국 저자가 포함된 광범위한 QIS 출판물의 절반 이상이 국제 공동저자를 포함한다고 제시함. 본 데이터의 국제협력률 10.0%는 제목 검색식, 12개월 범위, 기관국가 커버리지, 기술군 구성 차이로 직접 비교할 수 없으며 협업률 과소추정 가능성을 함께 고려해야 함 [R1].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EU Quantum Europe Strategy는 유럽의 전략·로드맵 분절을 문제로 지적하고, 조정된 인프라 허브·공급망·인력 이동을 핵심축으로 제시함. 독일·이탈리아 및 유럽권 허브국의 연결은 다국가 인프라형 생태계와 연결해 해석함 [R2].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영국 National Quantum Strategy는 10년 장기전략과 국가 프로그램을 통해 연구·산업·인프라·인력을 결합함. 영국이 미국·중국과 주요 협업쌍을 형성하고 허브국가 상위에 위치한 점은 국제 네트워크형 전략의 결과로 볼 수 있는 보조 신호임 [R3].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ITU-T Y.Sup98은 양자 네트워크의 계층모델, 프로토콜, 성능, 전송, 보안, IoT 적용을 여러 Study Group이 협력해 표준화해야 한다고 제시함. 양자통신·QKD 연구는 단일 연구실보다 통신·보안·광학·시스템 기관 간 협력이 필수적인 영역으로 판단함 [R4].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CE4D6"/>
            <w:tcBorders>
              <w:top w:val="single" w:sz="8" w:color="ED7D31"/>
              <w:left w:val="single" w:sz="8" w:color="ED7D31"/>
              <w:bottom w:val="single" w:sz="8" w:color="ED7D31"/>
              <w:right w:val="single" w:sz="8" w:color="ED7D31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spacing w:before="0" w:after="80" w:line="240" w:lineRule="auto"/>
            </w:pPr>
            <w:r>
              <w:rPr>
                <w:rFonts w:ascii="맑은 고딕" w:hAnsi="맑은 고딕" w:eastAsia="맑은 고딕"/>
                <w:b/>
                <w:color w:val="17365D"/>
                <w:sz w:val="22"/>
              </w:rPr>
              <w:t>정량–정성 통합 판단</w:t>
            </w:r>
          </w:p>
          <w:p>
            <w:pPr>
              <w:keepNext w:val="0"/>
              <w:spacing w:before="0" w:after="40" w:line="288" w:lineRule="auto"/>
              <w:ind w:left="198" w:hanging="142"/>
            </w:pPr>
            <w:r>
              <w:rPr>
                <w:rFonts w:ascii="맑은 고딕" w:hAnsi="맑은 고딕" w:eastAsia="맑은 고딕"/>
                <w:b/>
                <w:color w:val="ED7D31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43447"/>
                <w:sz w:val="19"/>
              </w:rPr>
              <w:t>공동저자 88.0%는 양자기술의 다학제성을 반영하나, 국제협력 10.0%는 전략기술·인프라·보안·데이터 결측의 영향을 함께 받음.</w:t>
            </w:r>
          </w:p>
          <w:p>
            <w:pPr>
              <w:keepNext w:val="0"/>
              <w:spacing w:before="0" w:after="40" w:line="288" w:lineRule="auto"/>
              <w:ind w:left="198" w:hanging="142"/>
            </w:pPr>
            <w:r>
              <w:rPr>
                <w:rFonts w:ascii="맑은 고딕" w:hAnsi="맑은 고딕" w:eastAsia="맑은 고딕"/>
                <w:b/>
                <w:color w:val="ED7D31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43447"/>
                <w:sz w:val="19"/>
              </w:rPr>
              <w:t>국제 공동연구는 단순 개방성보다 공동 인프라 접근, 상호보완 전문성, 표준화 참여, 신뢰·연구보안 체계에 의해 선택적으로 형성됨.</w:t>
            </w:r>
          </w:p>
          <w:p>
            <w:pPr>
              <w:keepNext w:val="0"/>
              <w:spacing w:before="0" w:after="40" w:line="288" w:lineRule="auto"/>
              <w:ind w:left="198" w:hanging="142"/>
            </w:pPr>
            <w:r>
              <w:rPr>
                <w:rFonts w:ascii="맑은 고딕" w:hAnsi="맑은 고딕" w:eastAsia="맑은 고딕"/>
                <w:b/>
                <w:color w:val="ED7D31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43447"/>
                <w:sz w:val="19"/>
              </w:rPr>
              <w:t>협업 우선순위는 전체 논문 수보다 기술군 적합성, 허브 중심성, 장비·실증 인프라, 표준화 역할, 지식재산·수출통제 위험을 함께 평가함.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6.12 기술군별 권장 협업 모델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6-9. 양자 기술군별 협업 모델과 파트너 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c>
          <w:tcPr>
            <w:tcW w:type="dxa" w:w="192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기술군</w:t>
            </w:r>
          </w:p>
        </w:tc>
        <w:tc>
          <w:tcPr>
            <w:tcW w:type="dxa" w:w="255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권장 팀 구조</w:t>
            </w:r>
          </w:p>
        </w:tc>
        <w:tc>
          <w:tcPr>
            <w:tcW w:type="dxa" w:w="328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핵심 파트너</w:t>
            </w:r>
          </w:p>
        </w:tc>
        <w:tc>
          <w:tcPr>
            <w:tcW w:type="dxa" w:w="294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협업 목적</w:t>
            </w:r>
          </w:p>
        </w:tc>
        <w:tc>
          <w:tcPr>
            <w:tcW w:type="dxa" w:w="2494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주의요인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양자컴퓨팅 하드웨어</w:t>
            </w:r>
          </w:p>
        </w:tc>
        <w:tc>
          <w:tcPr>
            <w:tcW w:type="dxa" w:w="255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대형 다기관·국제 컨소시엄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소자·극저온·제어·공정·클라우드 기관</w:t>
            </w:r>
          </w:p>
        </w:tc>
        <w:tc>
          <w:tcPr>
            <w:tcW w:type="dxa" w:w="294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큐비트 확장·오류정정·시스템 통합</w:t>
            </w:r>
          </w:p>
        </w:tc>
        <w:tc>
          <w:tcPr>
            <w:tcW w:type="dxa" w:w="24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IP·장비 공급망·수출통제</w:t>
            </w:r>
          </w:p>
        </w:tc>
      </w:tr>
      <w:tr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양자SW·AI</w:t>
            </w:r>
          </w:p>
        </w:tc>
        <w:tc>
          <w:tcPr>
            <w:tcW w:type="dxa" w:w="255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소·중규모 다학제 팀</w:t>
            </w:r>
          </w:p>
        </w:tc>
        <w:tc>
          <w:tcPr>
            <w:tcW w:type="dxa" w:w="328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알고리즘·ML·컴파일러·응용기관</w:t>
            </w:r>
          </w:p>
        </w:tc>
        <w:tc>
          <w:tcPr>
            <w:tcW w:type="dxa" w:w="294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디코더·회로최적화·벤치마크</w:t>
            </w:r>
          </w:p>
        </w:tc>
        <w:tc>
          <w:tcPr>
            <w:tcW w:type="dxa" w:w="249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재현성·성능기준·플랫폼 종속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양자통신·보안</w:t>
            </w:r>
          </w:p>
        </w:tc>
        <w:tc>
          <w:tcPr>
            <w:tcW w:type="dxa" w:w="255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통신사·장비사·표준기관 포함 다기관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광학·네트워크·보안·PQC·QKD 기관</w:t>
            </w:r>
          </w:p>
        </w:tc>
        <w:tc>
          <w:tcPr>
            <w:tcW w:type="dxa" w:w="294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상호운용·실증망·마이그레이션</w:t>
            </w:r>
          </w:p>
        </w:tc>
        <w:tc>
          <w:tcPr>
            <w:tcW w:type="dxa" w:w="24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보안등급·표준경쟁·망운영</w:t>
            </w:r>
          </w:p>
        </w:tc>
      </w:tr>
      <w:tr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양자센싱·계측</w:t>
            </w:r>
          </w:p>
        </w:tc>
        <w:tc>
          <w:tcPr>
            <w:tcW w:type="dxa" w:w="255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장비·응용기관 중심 공동실증</w:t>
            </w:r>
          </w:p>
        </w:tc>
        <w:tc>
          <w:tcPr>
            <w:tcW w:type="dxa" w:w="328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원자·광학·신호처리·국방·의료기관</w:t>
            </w:r>
          </w:p>
        </w:tc>
        <w:tc>
          <w:tcPr>
            <w:tcW w:type="dxa" w:w="294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성능검증·환경적응·시험인증</w:t>
            </w:r>
          </w:p>
        </w:tc>
        <w:tc>
          <w:tcPr>
            <w:tcW w:type="dxa" w:w="249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측정표준·현장데이터·듀얼유스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양자소자·소재</w:t>
            </w:r>
          </w:p>
        </w:tc>
        <w:tc>
          <w:tcPr>
            <w:tcW w:type="dxa" w:w="255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시설공유형 다기관 협력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대학·국가연구소·파운드리·소재기업</w:t>
            </w:r>
          </w:p>
        </w:tc>
        <w:tc>
          <w:tcPr>
            <w:tcW w:type="dxa" w:w="294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공정·결함·패키징·수율 개선</w:t>
            </w:r>
          </w:p>
        </w:tc>
        <w:tc>
          <w:tcPr>
            <w:tcW w:type="dxa" w:w="24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시설 접근·공정기밀·소재 공급망</w:t>
            </w:r>
          </w:p>
        </w:tc>
      </w:tr>
      <w:tr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기초이론·시뮬레이션</w:t>
            </w:r>
          </w:p>
        </w:tc>
        <w:tc>
          <w:tcPr>
            <w:tcW w:type="dxa" w:w="255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소규모 국제 네트워크</w:t>
            </w:r>
          </w:p>
        </w:tc>
        <w:tc>
          <w:tcPr>
            <w:tcW w:type="dxa" w:w="328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수리물리·다체계·HPC 연구그룹</w:t>
            </w:r>
          </w:p>
        </w:tc>
        <w:tc>
          <w:tcPr>
            <w:tcW w:type="dxa" w:w="294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모델·알고리즘·검증문제 개발</w:t>
            </w:r>
          </w:p>
        </w:tc>
        <w:tc>
          <w:tcPr>
            <w:tcW w:type="dxa" w:w="249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저자관행·성과귀속·장기성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6.13 한국의 협업 전략 시사점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제5장에서 한국은 제1저자 국가 44건, 전체 기관 국가 48건으로 두 기준 모두 12위이며 참여 확대 폭이 +4건에 그쳐 국제 공동연구 외연을 넓힐 필요가 있음.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미국 NQI의 양자 협력 공동성명 대상에 한국이 포함되어 있으므로 제도적 협력 기반을 실제 공동과제·인력교류·시설공유·표준화 참여로 전환할 필요가 있음.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한국은 전 기술군을 균등 확대하기보다 양자센싱·광학, 암호/보안, 소자·소재, 양자AI 등 국내 강점과 연결되는 분야에서 미국·독일·영국·일본 허브기관과 선택적 협력을 설계하는 것이 적합함.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국제협력 평가지표는 공동논문 건수 외에 공동 제1저자·교신저자, 브리지 연구자, 기관쌍 지속성, 공동 특허·표준, 인력 이동, 공동 실증을 포함해야 함.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6-10. 한국의 협업 네트워크 강화 실행과제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1814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과제</w:t>
            </w:r>
          </w:p>
        </w:tc>
        <w:tc>
          <w:tcPr>
            <w:tcW w:type="dxa" w:w="294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현재 진단</w:t>
            </w:r>
          </w:p>
        </w:tc>
        <w:tc>
          <w:tcPr>
            <w:tcW w:type="dxa" w:w="4025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실행 내용</w:t>
            </w:r>
          </w:p>
        </w:tc>
        <w:tc>
          <w:tcPr>
            <w:tcW w:type="dxa" w:w="2835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성과지표</w:t>
            </w:r>
          </w:p>
        </w:tc>
      </w:tr>
      <w:tr>
        <w:tc>
          <w:tcPr>
            <w:tcW w:type="dxa" w:w="181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허브국 연계</w:t>
            </w:r>
          </w:p>
        </w:tc>
        <w:tc>
          <w:tcPr>
            <w:tcW w:type="dxa" w:w="294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미국·독일·영국 등이 글로벌 허브</w:t>
            </w:r>
          </w:p>
        </w:tc>
        <w:tc>
          <w:tcPr>
            <w:tcW w:type="dxa" w:w="402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기술군별 상위 기관·브리지 연구자를 선정해 공동과제를 설계함</w:t>
            </w:r>
          </w:p>
        </w:tc>
        <w:tc>
          <w:tcPr>
            <w:tcW w:type="dxa" w:w="283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신규 국가쌍·기관쌍, 공동 제1저자</w:t>
            </w:r>
          </w:p>
        </w:tc>
      </w:tr>
      <w:tr>
        <w:tc>
          <w:tcPr>
            <w:tcW w:type="dxa" w:w="181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공동 인프라</w:t>
            </w:r>
          </w:p>
        </w:tc>
        <w:tc>
          <w:tcPr>
            <w:tcW w:type="dxa" w:w="294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다기관 연구 29.6%로 선택적</w:t>
            </w:r>
          </w:p>
        </w:tc>
        <w:tc>
          <w:tcPr>
            <w:tcW w:type="dxa" w:w="402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극저온·광원·파운드리·통신 테스트베드의 공동 접근체계를 구축함</w:t>
            </w:r>
          </w:p>
        </w:tc>
        <w:tc>
          <w:tcPr>
            <w:tcW w:type="dxa" w:w="283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시설 공동활용, 공동 실증</w:t>
            </w:r>
          </w:p>
        </w:tc>
      </w:tr>
      <w:tr>
        <w:tc>
          <w:tcPr>
            <w:tcW w:type="dxa" w:w="181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표준화 협력</w:t>
            </w:r>
          </w:p>
        </w:tc>
        <w:tc>
          <w:tcPr>
            <w:tcW w:type="dxa" w:w="294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양자 네트워크·PQC 표준화 가속</w:t>
            </w:r>
          </w:p>
        </w:tc>
        <w:tc>
          <w:tcPr>
            <w:tcW w:type="dxa" w:w="402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ITU·ISO/IEC·ETSI·GSMA 활동과 논문·실증 컨소시엄을 연계함</w:t>
            </w:r>
          </w:p>
        </w:tc>
        <w:tc>
          <w:tcPr>
            <w:tcW w:type="dxa" w:w="283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국제표준 기고, 시험·인증</w:t>
            </w:r>
          </w:p>
        </w:tc>
      </w:tr>
      <w:tr>
        <w:tc>
          <w:tcPr>
            <w:tcW w:type="dxa" w:w="181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인력 이동</w:t>
            </w:r>
          </w:p>
        </w:tc>
        <w:tc>
          <w:tcPr>
            <w:tcW w:type="dxa" w:w="294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국가 간 협력은 인력·신뢰 기반</w:t>
            </w:r>
          </w:p>
        </w:tc>
        <w:tc>
          <w:tcPr>
            <w:tcW w:type="dxa" w:w="402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공동박사·포닥·산업 파견·방문연구를 확대함</w:t>
            </w:r>
          </w:p>
        </w:tc>
        <w:tc>
          <w:tcPr>
            <w:tcW w:type="dxa" w:w="283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인력 교류, 공동 지도, 정착률</w:t>
            </w:r>
          </w:p>
        </w:tc>
      </w:tr>
      <w:tr>
        <w:tc>
          <w:tcPr>
            <w:tcW w:type="dxa" w:w="181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연구보안·IP</w:t>
            </w:r>
          </w:p>
        </w:tc>
        <w:tc>
          <w:tcPr>
            <w:tcW w:type="dxa" w:w="294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전략기술 특성상 개방성 제약</w:t>
            </w:r>
          </w:p>
        </w:tc>
        <w:tc>
          <w:tcPr>
            <w:tcW w:type="dxa" w:w="402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공동연구 계약·데이터·IP·수출통제 기준을 사전 설계함</w:t>
            </w:r>
          </w:p>
        </w:tc>
        <w:tc>
          <w:tcPr>
            <w:tcW w:type="dxa" w:w="283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협약기간, 분쟁·지연 감소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6.14 분석 한계 및 데이터 보완 과제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기관 국가 커버리지는 83.25%이므로 국제협력률은 실제보다 과소 추정될 수 있으며 국가 미확인 논문의 기술군·월별 편향을 점검해야 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기관명 표준화 오류가 기관쌍을 왜곡하므로 현재 기관 네트워크는 탐색 신호로만 활용하고 ROR 등 외부 식별자 기반 재정비가 필수임.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공동논문은 협력의 존재를 보여주지만 역할·기여도·인프라 제공·데이터 제공·교신 책임을 구분하지 못하므로 CRediT 기여문과 교신저자 정보를 연계해야 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국가쌍 공동논문 수는 다국가 논문에서 복수쌍이 생성되므로 논문 수, 가중 degree, 상대국 수, betweenness를 구분해야 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12개월 데이터는 장기 협력 지속성을 판단하기 어려우므로 최소 3년 누적과 최근 12개월 가속도를 병렬 적용해야 함.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6-11. 협업 데이터 품질과 보완 방향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192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한계요인</w:t>
            </w:r>
          </w:p>
        </w:tc>
        <w:tc>
          <w:tcPr>
            <w:tcW w:type="dxa" w:w="294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영향</w:t>
            </w:r>
          </w:p>
        </w:tc>
        <w:tc>
          <w:tcPr>
            <w:tcW w:type="dxa" w:w="323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현재 통제</w:t>
            </w:r>
          </w:p>
        </w:tc>
        <w:tc>
          <w:tcPr>
            <w:tcW w:type="dxa" w:w="3515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보완 방향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기관명 변형</w:t>
            </w:r>
          </w:p>
        </w:tc>
        <w:tc>
          <w:tcPr>
            <w:tcW w:type="dxa" w:w="294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허위 기관쌍·허브 왜곡</w:t>
            </w:r>
          </w:p>
        </w:tc>
        <w:tc>
          <w:tcPr>
            <w:tcW w:type="dxa" w:w="323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동일기관 의심쌍을 주석 처리함</w:t>
            </w:r>
          </w:p>
        </w:tc>
        <w:tc>
          <w:tcPr>
            <w:tcW w:type="dxa" w:w="351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ROR·OpenAlex·GRID 기반 통합</w:t>
            </w:r>
          </w:p>
        </w:tc>
      </w:tr>
      <w:tr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기관 국가 결측</w:t>
            </w:r>
          </w:p>
        </w:tc>
        <w:tc>
          <w:tcPr>
            <w:tcW w:type="dxa" w:w="294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국제협력 과소추정</w:t>
            </w:r>
          </w:p>
        </w:tc>
        <w:tc>
          <w:tcPr>
            <w:tcW w:type="dxa" w:w="323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전체·유효분모를 함께 제시함</w:t>
            </w:r>
          </w:p>
        </w:tc>
        <w:tc>
          <w:tcPr>
            <w:tcW w:type="dxa" w:w="351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소속문자열·도메인·외부DB 보완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저자 기여도 미확인</w:t>
            </w:r>
          </w:p>
        </w:tc>
        <w:tc>
          <w:tcPr>
            <w:tcW w:type="dxa" w:w="294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실제 리더십·역할 구분 불가</w:t>
            </w:r>
          </w:p>
        </w:tc>
        <w:tc>
          <w:tcPr>
            <w:tcW w:type="dxa" w:w="323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저자수·제1저자와 분리 해석함</w:t>
            </w:r>
          </w:p>
        </w:tc>
        <w:tc>
          <w:tcPr>
            <w:tcW w:type="dxa" w:w="351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교신저자·CRediT·마지막 저자 연계</w:t>
            </w:r>
          </w:p>
        </w:tc>
      </w:tr>
      <w:tr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다국가 논문의 복수쌍</w:t>
            </w:r>
          </w:p>
        </w:tc>
        <w:tc>
          <w:tcPr>
            <w:tcW w:type="dxa" w:w="294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쌍 합계가 논문 수 초과</w:t>
            </w:r>
          </w:p>
        </w:tc>
        <w:tc>
          <w:tcPr>
            <w:tcW w:type="dxa" w:w="323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가중 연결 수로 명시함</w:t>
            </w:r>
          </w:p>
        </w:tc>
        <w:tc>
          <w:tcPr>
            <w:tcW w:type="dxa" w:w="351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단순·가중 네트워크 지표 병렬 산출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짧은 분석기간</w:t>
            </w:r>
          </w:p>
        </w:tc>
        <w:tc>
          <w:tcPr>
            <w:tcW w:type="dxa" w:w="294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지속 협력과 일회 협력 구분 한계</w:t>
            </w:r>
          </w:p>
        </w:tc>
        <w:tc>
          <w:tcPr>
            <w:tcW w:type="dxa" w:w="323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월별·반기별 변화를 제시함</w:t>
            </w:r>
          </w:p>
        </w:tc>
        <w:tc>
          <w:tcPr>
            <w:tcW w:type="dxa" w:w="351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3~5년 코호트·생존 분석</w:t>
            </w:r>
          </w:p>
        </w:tc>
      </w:tr>
      <w:tr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기술군 혼합</w:t>
            </w:r>
          </w:p>
        </w:tc>
        <w:tc>
          <w:tcPr>
            <w:tcW w:type="dxa" w:w="294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협업률의 분야 구성효과</w:t>
            </w:r>
          </w:p>
        </w:tc>
        <w:tc>
          <w:tcPr>
            <w:tcW w:type="dxa" w:w="323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카테고리별 상대적 해석을 수행함</w:t>
            </w:r>
          </w:p>
        </w:tc>
        <w:tc>
          <w:tcPr>
            <w:tcW w:type="dxa" w:w="351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실무 기술분류 재매핑 후 재산출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6.15 제7장 연결용 종합 시사점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양자 분야는 공동저자 연구가 보편적이지만 다기관·국제협력은 기술적 필요성과 제도적 조건에 따라 선택적으로 발생하는 다층 협업 생태계로 정의함.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연구량 증가가 협업 강도 증가와 직접 연결되지 않으므로 유망기술 분석에서는 논문 성장률과 다기관·국제협력 성장률을 별도 지표로 적용함.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미국은 국가쌍·허브 지표 모두에서 중심성이 높고 독일·영국·중국은 권역과 글로벌 네트워크를 연결하는 주요 파트너로 확인됨.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기관 협업은 현재 표준화 오류가 크므로 제7장의 전략 파트너 선정 전에 기관명 정비와 기술군별 네트워크 재산출을 선행함.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제7장에서는 연구 규모·분야·주체·협업 결과를 결합하여 고성장–고협업, 고성장–저협업, 저성장–고허브 기술군을 구분하고 R&amp;D·인력·국제협력 전략을 제시함.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6-12. 협업 구조 유형별 전략 대응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1984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협업 유형</w:t>
            </w:r>
          </w:p>
        </w:tc>
        <w:tc>
          <w:tcPr>
            <w:tcW w:type="dxa" w:w="2835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정량 특징</w:t>
            </w:r>
          </w:p>
        </w:tc>
        <w:tc>
          <w:tcPr>
            <w:tcW w:type="dxa" w:w="3402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전략적 해석</w:t>
            </w:r>
          </w:p>
        </w:tc>
        <w:tc>
          <w:tcPr>
            <w:tcW w:type="dxa" w:w="3402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권장 대응</w:t>
            </w:r>
          </w:p>
        </w:tc>
      </w:tr>
      <w:tr>
        <w:tc>
          <w:tcPr>
            <w:tcW w:type="dxa" w:w="198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고공저·저다기관</w:t>
            </w:r>
          </w:p>
        </w:tc>
        <w:tc>
          <w:tcPr>
            <w:tcW w:type="dxa" w:w="283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팀 연구는 활발하나 동일기관 중심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내부 전문성 결합형 연구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기관 간 장비·데이터·실증 연계를 확대함</w:t>
            </w:r>
          </w:p>
        </w:tc>
      </w:tr>
      <w:tr>
        <w:tc>
          <w:tcPr>
            <w:tcW w:type="dxa" w:w="198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고다기관·저국제</w:t>
            </w:r>
          </w:p>
        </w:tc>
        <w:tc>
          <w:tcPr>
            <w:tcW w:type="dxa" w:w="283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국내 기관 협력은 활발하나 국가 경계 유지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국가 프로젝트·인프라 중심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국제 허브기관과 단계적 공동과제를 설계함</w:t>
            </w:r>
          </w:p>
        </w:tc>
      </w:tr>
      <w:tr>
        <w:tc>
          <w:tcPr>
            <w:tcW w:type="dxa" w:w="198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고국제·허브집중</w:t>
            </w:r>
          </w:p>
        </w:tc>
        <w:tc>
          <w:tcPr>
            <w:tcW w:type="dxa" w:w="283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소수 허브국가와 반복 연결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전략적 글로벌 네트워크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브리지 연구자·기관과 장기 파트너십을 구축함</w:t>
            </w:r>
          </w:p>
        </w:tc>
      </w:tr>
      <w:tr>
        <w:tc>
          <w:tcPr>
            <w:tcW w:type="dxa" w:w="198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대형팀·저지속성</w:t>
            </w:r>
          </w:p>
        </w:tc>
        <w:tc>
          <w:tcPr>
            <w:tcW w:type="dxa" w:w="283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특정 월·프로젝트에 대형팀 집중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이벤트·컨소시엄형 연구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3년 지속성·후속 성과·공동특허를 확인함</w:t>
            </w:r>
          </w:p>
        </w:tc>
      </w:tr>
      <w:tr>
        <w:tc>
          <w:tcPr>
            <w:tcW w:type="dxa" w:w="198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소규모·고성장</w:t>
            </w:r>
          </w:p>
        </w:tc>
        <w:tc>
          <w:tcPr>
            <w:tcW w:type="dxa" w:w="283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소수팀이 빠르게 신규 주제를 생산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신흥 이론·알고리즘 가능성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신규 저자·키워드·토픽의 조기 신호를 추적함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6.16 본 장 소결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공동저자 연구는 2,113건·88.0%로 양자 분야의 기본 수행방식이며 전형적인 팀 규모는 중앙값 4명과 2~4인 연구 53.5%로 요약됨.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다기관 연구는 710건·29.6%, 국제협력은 241건·10.0%로 연구자 협업이 기관·국가 경계를 넘을수록 선택성이 커짐.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월별 협업률은 연구량과 직접 동행하지 않으며 최근 고활동 구간에서도 국제협력률이 낮아져 연구 생산 확대와 네트워크 개방성을 별도로 관리해야 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미국은 독일·영국·인도·중국 등과 연결되는 최상위 허브이며 유럽과 중국은 권역 내·외 연결축을 동시에 형성함.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기관쌍 결과는 표준화 오류를 포함하므로 최종 전략보고서에서는 기관 식별자 정비, 기술군 재분류, 네트워크 중심성, 지속성 지표를 추가함.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다음 제7장에서는 본 장의 협업 구조를 연구 규모·카테고리·주체 분석과 결합하여 기술군별 국제협력 우선순위와 실행전략으로 전환함.</w:t>
      </w: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참고자료</w:t>
      </w:r>
    </w:p>
    <w:p>
      <w:pPr>
        <w:keepNext w:val="0"/>
        <w:spacing w:before="0" w:after="60" w:line="276" w:lineRule="auto"/>
        <w:ind w:left="238" w:hanging="238"/>
      </w:pPr>
      <w:r>
        <w:rPr>
          <w:rFonts w:ascii="맑은 고딕" w:hAnsi="맑은 고딕" w:eastAsia="맑은 고딕"/>
          <w:b/>
          <w:color w:val="17365D"/>
          <w:sz w:val="17"/>
        </w:rPr>
        <w:t xml:space="preserve">[R1] </w:t>
      </w:r>
      <w:hyperlink r:id="rId19">
        <w:r>
          <w:rPr>
            <w:color w:val="0563C1"/>
            <w:u w:val="single"/>
          </w:rPr>
          <w:t>National Quantum Initiative, Annual Report FY2025</w:t>
        </w:r>
      </w:hyperlink>
    </w:p>
    <w:p>
      <w:pPr>
        <w:keepNext w:val="0"/>
        <w:spacing w:before="0" w:after="60" w:line="276" w:lineRule="auto"/>
        <w:ind w:left="238" w:hanging="238"/>
      </w:pPr>
      <w:r>
        <w:rPr>
          <w:rFonts w:ascii="맑은 고딕" w:hAnsi="맑은 고딕" w:eastAsia="맑은 고딕"/>
          <w:b/>
          <w:color w:val="17365D"/>
          <w:sz w:val="17"/>
        </w:rPr>
        <w:t xml:space="preserve">[R2] </w:t>
      </w:r>
      <w:hyperlink r:id="rId20">
        <w:r>
          <w:rPr>
            <w:color w:val="0563C1"/>
            <w:u w:val="single"/>
          </w:rPr>
          <w:t>European Commission, Quantum Europe Strategy, 2025</w:t>
        </w:r>
      </w:hyperlink>
    </w:p>
    <w:p>
      <w:pPr>
        <w:keepNext w:val="0"/>
        <w:spacing w:before="0" w:after="60" w:line="276" w:lineRule="auto"/>
        <w:ind w:left="238" w:hanging="238"/>
      </w:pPr>
      <w:r>
        <w:rPr>
          <w:rFonts w:ascii="맑은 고딕" w:hAnsi="맑은 고딕" w:eastAsia="맑은 고딕"/>
          <w:b/>
          <w:color w:val="17365D"/>
          <w:sz w:val="17"/>
        </w:rPr>
        <w:t xml:space="preserve">[R3] </w:t>
      </w:r>
      <w:hyperlink r:id="rId21">
        <w:r>
          <w:rPr>
            <w:color w:val="0563C1"/>
            <w:u w:val="single"/>
          </w:rPr>
          <w:t>UK Government, National Quantum Strategy</w:t>
        </w:r>
      </w:hyperlink>
    </w:p>
    <w:p>
      <w:pPr>
        <w:keepNext w:val="0"/>
        <w:spacing w:before="0" w:after="60" w:line="276" w:lineRule="auto"/>
        <w:ind w:left="238" w:hanging="238"/>
      </w:pPr>
      <w:r>
        <w:rPr>
          <w:rFonts w:ascii="맑은 고딕" w:hAnsi="맑은 고딕" w:eastAsia="맑은 고딕"/>
          <w:b/>
          <w:color w:val="17365D"/>
          <w:sz w:val="17"/>
        </w:rPr>
        <w:t xml:space="preserve">[R4] </w:t>
      </w:r>
      <w:hyperlink r:id="rId22">
        <w:r>
          <w:rPr>
            <w:color w:val="0563C1"/>
            <w:u w:val="single"/>
          </w:rPr>
          <w:t>ITU-T Y.Sup98, Technical Considerations Towards Quantum Networks, 2025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765" w:right="765" w:bottom="765" w:left="76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6B7280"/>
        <w:sz w:val="16"/>
      </w:rPr>
      <w:t xml:space="preserve">분석 기준: 2025.06~2026.05, 12개월·2,400건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맑은 고딕" w:hAnsi="맑은 고딕" w:eastAsia="맑은 고딕"/>
        <w:b/>
        <w:color w:val="17365D"/>
        <w:sz w:val="16"/>
      </w:rPr>
      <w:t>arXiv 양자 분야 논문 분석 | 제6장 협업 구조 분석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hyperlink" Target="https://www.quantum.gov/wp-content/uploads/2024/12/NQI-Annual-Report-FY2025.pdf" TargetMode="External"/><Relationship Id="rId20" Type="http://schemas.openxmlformats.org/officeDocument/2006/relationships/hyperlink" Target="https://digital-strategy.ec.europa.eu/en/library/quantum-europe-strategy" TargetMode="External"/><Relationship Id="rId21" Type="http://schemas.openxmlformats.org/officeDocument/2006/relationships/hyperlink" Target="https://www.gov.uk/government/publications/national-quantum-strategy" TargetMode="External"/><Relationship Id="rId22" Type="http://schemas.openxmlformats.org/officeDocument/2006/relationships/hyperlink" Target="https://www.itu.int/rec/dologin_pub.asp?id=T-REC-Y.Sup98-202511-I!!PDF-E&amp;lang=s&amp;type=ite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arXiv 양자 분야 제6장 협업 구조 분석</dc:title>
  <dc:subject>2025년 6월~2026년 5월, 12개월·2,400건 기준 정량·정성 통합 분석</dc:subject>
  <dc:creator>OpenAI</dc:creator>
  <cp:keywords>arXiv, 양자, 협업, 공동저자, 다기관, 국제협력, 네트워크, 표준화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