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17365D"/>
            <w:tcMar>
              <w:top w:w="720" w:type="dxa"/>
              <w:start w:w="300" w:type="dxa"/>
              <w:bottom w:w="720" w:type="dxa"/>
              <w:end w:w="300" w:type="dxa"/>
            </w:tcMar>
            <w:tcBorders>
              <w:top w:val="single" w:sz="0" w:color="17365D"/>
              <w:left w:val="single" w:sz="0" w:color="17365D"/>
              <w:bottom w:val="single" w:sz="0" w:color="17365D"/>
              <w:right w:val="single" w:sz="0" w:color="17365D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9DC3E6"/>
                <w:sz w:val="28"/>
              </w:rPr>
              <w:t>CHAPTER 3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54"/>
              </w:rPr>
              <w:t>연구 규모·성장 분석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D9EAF7"/>
                <w:sz w:val="24"/>
              </w:rPr>
              <w:t>2025년 6월~2026년 5월 | 12개월·2,400건</w:t>
            </w:r>
          </w:p>
          <w:p>
            <w:pPr>
              <w:keepNext w:val="0"/>
              <w:spacing w:before="320" w:after="8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D966"/>
                <w:sz w:val="22"/>
              </w:rPr>
              <w:t>정량 추세 × 시장·기술·정책 환경 통합 해석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2075"/>
            <w:shd w:fill="D9EAF7"/>
            <w:tcBorders>
              <w:top w:val="single" w:sz="7" w:color="2F75B5"/>
              <w:left w:val="single" w:sz="7" w:color="2F75B5"/>
              <w:bottom w:val="single" w:sz="7" w:color="2F75B5"/>
              <w:right w:val="single" w:sz="7" w:color="2F75B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2,400건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분석 논문</w:t>
            </w:r>
          </w:p>
        </w:tc>
        <w:tc>
          <w:tcPr>
            <w:tcW w:type="dxa" w:w="2075"/>
            <w:shd w:fill="E2F0D9"/>
            <w:tcBorders>
              <w:top w:val="single" w:sz="7" w:color="548235"/>
              <w:left w:val="single" w:sz="7" w:color="548235"/>
              <w:bottom w:val="single" w:sz="7" w:color="548235"/>
              <w:right w:val="single" w:sz="7" w:color="54823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200.0편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월평균</w:t>
            </w:r>
          </w:p>
        </w:tc>
        <w:tc>
          <w:tcPr>
            <w:tcW w:type="dxa" w:w="2075"/>
            <w:shd w:fill="FCE4D6"/>
            <w:tcBorders>
              <w:top w:val="single" w:sz="7" w:color="ED7D31"/>
              <w:left w:val="single" w:sz="7" w:color="ED7D31"/>
              <w:bottom w:val="single" w:sz="7" w:color="ED7D31"/>
              <w:right w:val="single" w:sz="7" w:color="ED7D31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+5.0%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후반기 증가</w:t>
            </w:r>
          </w:p>
        </w:tc>
        <w:tc>
          <w:tcPr>
            <w:tcW w:type="dxa" w:w="2075"/>
            <w:shd w:fill="E4DFEC"/>
            <w:tcBorders>
              <w:top w:val="single" w:sz="7" w:color="7030A0"/>
              <w:left w:val="single" w:sz="7" w:color="7030A0"/>
              <w:bottom w:val="single" w:sz="7" w:color="7030A0"/>
              <w:right w:val="single" w:sz="7" w:color="7030A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217.0편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최근 3개월 평균</w:t>
            </w:r>
          </w:p>
        </w:tc>
        <w:tc>
          <w:tcPr>
            <w:tcW w:type="dxa" w:w="2075"/>
            <w:shd w:fill="F2F4F7"/>
            <w:tcBorders>
              <w:top w:val="single" w:sz="7" w:color="6B7280"/>
              <w:left w:val="single" w:sz="7" w:color="6B7280"/>
              <w:bottom w:val="single" w:sz="7" w:color="6B7280"/>
              <w:right w:val="single" w:sz="7" w:color="6B728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11.1%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변동계수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맑은 고딕" w:hAnsi="맑은 고딕" w:eastAsia="맑은 고딕"/>
                <w:b/>
                <w:color w:val="17365D"/>
                <w:sz w:val="22"/>
              </w:rPr>
              <w:t>본 장의 핵심 판단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2026년 6월 부분월 27건을 제외함으로써 최근 흐름은 ‘급감’이 아니라 2026년 3~5월의 재상승·고점 유지로 재해석함.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월평균 200.0편, 중앙값 199.0편, 변동계수 11.1%로 확인되어 양자 연구가 높은 활동성과 제한적 변동성을 동시에 보임.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시장 상용화 신호, 오류정정 진전, 국가전략·공공투자 확대가 학술 연구의 지속성을 뒷받침하는 외부환경으로 작용하는 것으로 판단함.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3.1 분석 목적 및 본 장의 위치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본 장은 제2장에서 확정한 분석 DB를 시간축으로 재구성하여 연구활동의 규모, 변동성, 성장 모멘텀, 피크·저점의 반복성을 분석함.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연구 규모·성장 분석은 이후 제4장 분야·카테고리 분포 분석에서 ‘어떤 분야가 고점과 회복을 주도했는가’를 확인하기 위한 기준축으로 활용함.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제5장 연구 주체 분석에서는 피크 구간의 저자·기관·국가 기여도를 연결하고, 제6장 협업 구조 분석에서는 연구량 증가가 공저·다기관·국제협력 확대와 동행하는지 검증함.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정량 추세는 시장·기술·정책 자료와 교차해석하되 외부환경과 논문 수 사이의 직접 인과관계는 단정하지 않고 구조적 부합성의 근거로 활용함.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3-1. 연구 규모·성장 분석의 기준과 적용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53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38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적용 기준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분석상 의미</w:t>
            </w:r>
          </w:p>
        </w:tc>
        <w:tc>
          <w:tcPr>
            <w:tcW w:type="dxa" w:w="317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유의사항</w:t>
            </w:r>
          </w:p>
        </w:tc>
      </w:tr>
      <w:tr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분석 기간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2025.06~2026.05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연속 12개월의 월별 연구활동을 비교함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2025년 6월은 6월 6일부터 수집되어 소폭 과소집계 가능성이 있음</w:t>
            </w:r>
          </w:p>
        </w:tc>
      </w:tr>
      <w:tr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분석 논문 수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2,400건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모든 규모·성장 지표의 공통 분모로 사용함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2026년 6월 부분월 27건은 제외함</w:t>
            </w:r>
          </w:p>
        </w:tc>
      </w:tr>
      <w:tr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시간 단위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월·3개월·6개월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단월 변동과 구조적 모멘텀을 함께 확인함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1개 월의 급등락만으로 성장·감소를 판단하지 않음</w:t>
            </w:r>
          </w:p>
        </w:tc>
      </w:tr>
      <w:tr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성장 해석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전월비·이동평균·구간비교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조정·반등·고점 유지의 흐름을 구분함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학회 일정·휴가·연말연초 효과 가능성을 함께 고려함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3.2 핵심 지표 및 연구활동 규모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12개월 분석 논문은 총 2,400건이며 월평균 200.0편, 중앙값 199.0편으로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최고 월은 2025년 10월 229편, 최저 월은 2026년 2월 165편이며 최고–최저 변동폭은 64편으로 산출됨.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표준편차는 22.2편, 변동계수는 11.1%로 나타나 월별 조정은 존재하나 고활동 연구영역 내부의 제한적 변동으로 판단함.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평균 이상 월은 6개월이며 해당 논문은 1,326건, 전체의 55.2%로 확인되어 고활동 구간이 특정 1개월에 집중되지 않음.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선형 추세의 기울기는 월 +2.0편이나 설명력은 R²=0.096로 낮아 단순 직선 성장보다 조정과 반등이 반복되는 계단형 흐름으로 해석함.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3-2. 연구 규모·성장 핵심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15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32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값</w:t>
            </w:r>
          </w:p>
        </w:tc>
        <w:tc>
          <w:tcPr>
            <w:tcW w:type="dxa" w:w="5556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7"/>
              </w:rPr>
              <w:t>분석 논문 수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2,400건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2026년 6월 부분월을 제외한 공통 분석 모집단임</w:t>
            </w:r>
          </w:p>
        </w:tc>
      </w:tr>
      <w:tr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7"/>
              </w:rPr>
              <w:t>월평균 / 중앙값</w:t>
            </w:r>
          </w:p>
        </w:tc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200.0편 / 199.0편</w:t>
            </w:r>
          </w:p>
        </w:tc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평균과 중앙값이 유사하여 극단 월의 왜곡이 제한적임</w:t>
            </w:r>
          </w:p>
        </w:tc>
      </w:tr>
      <w:tr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7"/>
              </w:rPr>
              <w:t>최고 / 최저 월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2025-10 229편 / 2026-02 165편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고점과 저점 사이에 단기 조정이 존재함</w:t>
            </w:r>
          </w:p>
        </w:tc>
      </w:tr>
      <w:tr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7"/>
              </w:rPr>
              <w:t>표준편차 / 변동계수</w:t>
            </w:r>
          </w:p>
        </w:tc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22.2편 / 11.1%</w:t>
            </w:r>
          </w:p>
        </w:tc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고활동 수준 안에서 중간 정도의 월별 변동을 보임</w:t>
            </w:r>
          </w:p>
        </w:tc>
      </w:tr>
      <w:tr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7"/>
              </w:rPr>
              <w:t>전·후반기 증감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1,171건 → 1,229건 / +5.0%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후반 6개월의 연구량이 소폭 확대됨</w:t>
            </w:r>
          </w:p>
        </w:tc>
      </w:tr>
      <w:tr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7"/>
              </w:rPr>
              <w:t>최근 3개월 모멘텀</w:t>
            </w:r>
          </w:p>
        </w:tc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578건 → 651건 / +12.6%</w:t>
            </w:r>
          </w:p>
        </w:tc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2026년 3월 이후 회복 강도가 확인됨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3.3 월별 논문 제출 추이</w:t>
      </w:r>
    </w:p>
    <w:p>
      <w:r>
        <w:drawing>
          <wp:inline xmlns:a="http://schemas.openxmlformats.org/drawingml/2006/main" xmlns:pic="http://schemas.openxmlformats.org/drawingml/2006/picture">
            <wp:extent cx="6480000" cy="2782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monthly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8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3-1. 월별 논문 제출량과 3개월 이동평균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2025년 6~8월은 182~187편의 초기 안정 구간을 형성하며 평균 이하이나 변동폭이 작게 유지됨.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2025년 9월 219편, 10월 229편으로 1차 확장 구간이 형성되며 분석기간 최고 수준에 도달함.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2025년 11월 171편으로 조정된 뒤 12월 227편으로 즉시 반등하여 일방향 하락이 아닌 고점–조정–재고점의 반복 구조를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2026년 1~2월은 186편과 165편으로 둔화되나, 3월 211편, 4~5월 각각 220편으로 회복하여 최근 구간은 고활동 상태로 종료됨.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3개월 이동평균은 2026년 3월 187.3편을 저점으로 4월 198.7편, 5월 217.0편까지 상승하여 단월 반등이 아닌 연속적 회복으로 확인됨.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3-3. 월별 논문 수와 전월 대비 변화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147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월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논문 수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증감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증감률</w:t>
            </w:r>
          </w:p>
        </w:tc>
        <w:tc>
          <w:tcPr>
            <w:tcW w:type="dxa" w:w="334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활동 국면</w:t>
            </w:r>
          </w:p>
        </w:tc>
      </w:tr>
      <w:tr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2025-06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182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기준월</w:t>
            </w:r>
          </w:p>
        </w:tc>
      </w:tr>
      <w:tr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2025-07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187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+5편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+2.7%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안정</w:t>
            </w:r>
          </w:p>
        </w:tc>
      </w:tr>
      <w:tr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2025-08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183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-4편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-2.1%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안정</w:t>
            </w:r>
          </w:p>
        </w:tc>
      </w:tr>
      <w:tr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2025-09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219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+36편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+19.7%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확장</w:t>
            </w:r>
          </w:p>
        </w:tc>
      </w:tr>
      <w:tr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2025-10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229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+10편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+4.6%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안정</w:t>
            </w:r>
          </w:p>
        </w:tc>
      </w:tr>
      <w:tr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2025-11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171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-58편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-25.3%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조정</w:t>
            </w:r>
          </w:p>
        </w:tc>
      </w:tr>
      <w:tr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2025-12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227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+56편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+32.7%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확장</w:t>
            </w:r>
          </w:p>
        </w:tc>
      </w:tr>
      <w:tr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2026-01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186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-41편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-18.1%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조정</w:t>
            </w:r>
          </w:p>
        </w:tc>
      </w:tr>
      <w:tr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2026-02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165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-21편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-11.3%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조정</w:t>
            </w:r>
          </w:p>
        </w:tc>
      </w:tr>
      <w:tr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2026-03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211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+46편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+27.9%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확장</w:t>
            </w:r>
          </w:p>
        </w:tc>
      </w:tr>
      <w:tr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2026-04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220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+9편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+4.3%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안정</w:t>
            </w:r>
          </w:p>
        </w:tc>
      </w:tr>
      <w:tr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2026-05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220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+0편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+0.0%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안정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3.4 월별 변동과 조정·반등 구조</w:t>
      </w:r>
    </w:p>
    <w:p>
      <w:r>
        <w:drawing>
          <wp:inline xmlns:a="http://schemas.openxmlformats.org/drawingml/2006/main" xmlns:pic="http://schemas.openxmlformats.org/drawingml/2006/picture">
            <wp:extent cx="6480000" cy="2565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m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6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3-2. 월별 증감과 조정·반등 구간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가장 큰 증가폭은 2025년 12월 +56편(+32.7%), 가장 큰 감소폭은 2025년 11월 -58편(-25.3%)로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대폭 감소 다음 달에 대폭 반등하는 패턴이 나타나므로 개별 월의 급락을 구조적 쇠퇴로 해석하는 것은 부적절함.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2026년 2월 -21편(-11.3%) 이후 3월 +46편(+27.9%)으로 회복되어 연초 저점은 기술 관심의 약화보다 제출 일정과 연구 사이클의 영향 가능성이 큼.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증가 6개월, 감소 4개월, 보합 1개월로 나타나 방향성은 완만한 증가 우위이나 변동성이 혼재하는 성장형 연구영역으로 판단함.</w:t>
      </w:r>
    </w:p>
    <w:p>
      <w:r>
        <w:drawing>
          <wp:inline xmlns:a="http://schemas.openxmlformats.org/drawingml/2006/main" xmlns:pic="http://schemas.openxmlformats.org/drawingml/2006/picture">
            <wp:extent cx="6336000" cy="31446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14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3-3. 연구활동 규모–증감 포지션 맵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2025년 9~10월과 2026년 3~4월은 평균 이상의 연구량과 양(+)의 증감을 동시에 보이는 ‘고규모·확장’ 구간으로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2025년 12월은 직전 월 급감에 대한 반등 성격이 강하지만 227편으로 고규모 구간에 재진입하여 연구 파이프라인의 복원력이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2026년 5월은 220편을 유지하면서 전월 대비 보합을 기록하여 급상승보다 고점 안정화 국면으로 해석함.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3.5 3개월 이동평균과 최근 모멘텀</w:t>
      </w:r>
    </w:p>
    <w:p>
      <w:r>
        <w:drawing>
          <wp:inline xmlns:a="http://schemas.openxmlformats.org/drawingml/2006/main" xmlns:pic="http://schemas.openxmlformats.org/drawingml/2006/picture">
            <wp:extent cx="6480000" cy="24565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rol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56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3-4. 3개월 이동평균으로 본 연구활동 모멘텀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3개월 이동평균은 2025년 10월 210.3편, 12월 209.0편으로 고점이 반복되어 2025년 하반기 연구활동의 지속성을 보여줌.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2026년 3월 기준 이동평균은 187.3편까지 낮아졌으나 4월 198.7편, 5월 217.0편으로 빠르게 회복함.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최근 3개월 평균 217.0편은 전체 평균보다 17.0편(+8.5%) 높아 후속 분야·카테고리 분석에서 부상 영역을 식별할 필요가 큼.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단일 월이 아니라 3개월 이동평균이 최고치로 종료된 점은 최근 상승이 일시적 이벤트보다 연속적 연구활동의 결과일 가능성을 높임.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3.6 전·후반기 및 구간별 성장 비교</w:t>
      </w:r>
    </w:p>
    <w:p>
      <w:r>
        <w:drawing>
          <wp:inline xmlns:a="http://schemas.openxmlformats.org/drawingml/2006/main" xmlns:pic="http://schemas.openxmlformats.org/drawingml/2006/picture">
            <wp:extent cx="6192000" cy="2725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2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3-5. 전·후반기 및 최근 3개월 모멘텀 비교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전반 6개월은 1,171건·월평균 195.2편, 후반 6개월은 1,229건·월평균 204.8편으로 후반기가 +5.0% 증가함.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직전 3개월은 578건·월평균 192.7편, 최근 3개월은 651건·월평균 217.0편으로 +12.6% 증가함.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후반기 전체의 증가는 크지 않지만 최근 3개월에서 증가폭이 확대되어 분석기간 말에 모멘텀이 강화된 것으로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따라서 성장 단계는 ‘급격한 팽창’보다 ‘높은 기반 규모 위에서 조정 후 재상승하는 안정 성장’으로 정의하는 것이 적절함.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3-4. 연구활동 단계별 구간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국면</w:t>
            </w:r>
          </w:p>
        </w:tc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기간</w:t>
            </w:r>
          </w:p>
        </w:tc>
        <w:tc>
          <w:tcPr>
            <w:tcW w:type="dxa" w:w="158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합계</w:t>
            </w:r>
          </w:p>
        </w:tc>
        <w:tc>
          <w:tcPr>
            <w:tcW w:type="dxa" w:w="175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월평균</w:t>
            </w:r>
          </w:p>
        </w:tc>
        <w:tc>
          <w:tcPr>
            <w:tcW w:type="dxa" w:w="4706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해석</w:t>
            </w:r>
          </w:p>
        </w:tc>
      </w:tr>
      <w:tr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초기 안정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2025.06~08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552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184.0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180편대의 안정적 기준선 형성</w:t>
            </w:r>
          </w:p>
        </w:tc>
      </w:tr>
      <w:tr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1차 확장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2025.09~10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448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224.0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평균을 크게 상회하며 1차 고점 형성</w:t>
            </w:r>
          </w:p>
        </w:tc>
      </w:tr>
      <w:tr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조정·재반등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2025.11~12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398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199.0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급감 뒤 즉시 고점 회복</w:t>
            </w:r>
          </w:p>
        </w:tc>
      </w:tr>
      <w:tr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연초 조정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2026.01~02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351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175.5</w:t>
            </w:r>
          </w:p>
        </w:tc>
        <w:tc>
          <w:tcPr>
            <w:tcW w:type="dxa" w:w="20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연초 저점 구간이나 구조적 하락 근거는 제한적</w:t>
            </w:r>
          </w:p>
        </w:tc>
      </w:tr>
      <w:tr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최근 재상승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2026.03~05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651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217.0</w:t>
            </w:r>
          </w:p>
        </w:tc>
        <w:tc>
          <w:tcPr>
            <w:tcW w:type="dxa" w:w="20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평균 상회·고점 유지로 분석기간 종료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3.7 정량 추세와 최신 시장·기술·정책 환경의 통합 해석</w:t>
      </w:r>
    </w:p>
    <w:p>
      <w:r>
        <w:drawing>
          <wp:inline xmlns:a="http://schemas.openxmlformats.org/drawingml/2006/main" xmlns:pic="http://schemas.openxmlformats.org/drawingml/2006/picture">
            <wp:extent cx="6480000" cy="28983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6_driv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98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3-6. 연구활동 규모를 뒷받침하는 시장·기술·정책 환경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시장 측면에서는 McKinsey의 2026년 모니터가 300개 이상의 기업이 양자컴퓨팅을 활용·협업하고 있으며 2025년 양자컴퓨팅 기업 매출이 10억 달러를 넘었다고 제시함. 이는 학술 연구량의 안정성이 상용화 준비와 병행되는 흐름으로 해석할 수 있는 보조 근거임 [R3].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기술 측면에서는 Google Quantum AI의 below-threshold 표면코드 실증이 2025년 Nature에 게재되었고, IBM은 2026년 양자 이점과 2029년 대규모 내결함성 시스템을 목표로 제시함. 이러한 이정표는 오류정정·디코더·제어·하이브리드 컴퓨팅 연구를 지속시키는 기술 수요로 연결될 수 있음 [R4][R5].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정책 측면에서는 미국 NQI가 FY2025 약 9.98억 달러의 QIS R&amp;D 예산을 요청하고 장기간 연방 연구투자를 유지하였으며, EU는 2025년 연구혁신·인프라·생태계·우주/듀얼유스·인력의 5개 전략축을 제시함 [R1][R2].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DARPA QBI는 2033년 산업적으로 유용한 양자컴퓨터의 실현 가능성을 독립 검증하고 있으며, 2026년 Stage A와 IV&amp;V 프로그램을 확대함. 이는 단순 큐비트 수보다 유용성·비용·검증 중심 연구가 강화되는 환경을 보여줌 [R6].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분석기간 종료 이후인 2026년 6월 미국 EO 14413은 양자컴퓨팅·센싱·네트워킹의 상용화와 배치를 가속하는 정부 차원의 후속 신호임. 본 장에서는 분석기간 내 논문 증가의 직접 원인으로 사용하지 않고 연구활동 지속 가능성을 확인하는 사후 정책 근거로 활용함 [R7].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3-5. 정량 신호와 외부환경 근거의 결합 해석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정량 신호</w:t>
            </w:r>
          </w:p>
        </w:tc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정성 근거</w:t>
            </w:r>
          </w:p>
        </w:tc>
        <w:tc>
          <w:tcPr>
            <w:tcW w:type="dxa" w:w="357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통합 해석</w:t>
            </w:r>
          </w:p>
        </w:tc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후속 분석 질문</w:t>
            </w:r>
          </w:p>
        </w:tc>
      </w:tr>
      <w:tr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월평균 200.0편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미국·EU·영국의 장기 국가전략과 공공투자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단기 유행보다 장기 연구 인프라에 기반한 고활동 영역으로 보임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국가별 연구량과 정책투자의 부합성이 나타나는가</w:t>
            </w:r>
          </w:p>
        </w:tc>
      </w:tr>
      <w:tr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후반기 +5.0%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민간투자·기업 채택과 양자서비스 시장 확대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 생태계가 기초연구와 상용화 준비를 동시에 확대하는 것으로 보임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컴퓨팅·센싱·통신 중 어느 분야가 증가를 주도하는가</w:t>
            </w:r>
          </w:p>
        </w:tc>
      </w:tr>
      <w:tr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최근 3개월 217.0편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오류정정 실증·FTQC·하이브리드 로드맵 구체화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기술 병목 해결을 위한 후속 연구가 최근 모멘텀을 지지할 가능성이 있음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오류정정·디코더·제어 키워드가 실제 증가했는가</w:t>
            </w:r>
          </w:p>
        </w:tc>
      </w:tr>
      <w:tr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조정 후 즉시 반등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DARPA 등 독립 검증·벤치마킹 강화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기술 기대와 검증 수요가 함께 존재하여 연구량이 저점에서 복원되는 구조로 보임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피크월의 연구 주체와 협업 네트워크가 달라지는가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CE4D6"/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맑은 고딕" w:hAnsi="맑은 고딕" w:eastAsia="맑은 고딕"/>
                <w:b/>
                <w:color w:val="17365D"/>
                <w:sz w:val="22"/>
              </w:rPr>
              <w:t>정성 통합 해석의 주의사항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외부 시장·정책 자료와 월별 논문 수의 시간적 동행은 구조적 부합성을 설명하지만 직접적인 인과관계를 입증하지 않음.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McKinsey·기업 로드맵은 시장·전략 신호로 활용하되 정부 공식자료, 동료평가 논문, 독립 벤치마킹 자료와 교차검증함.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2026년 6월 이후 공개된 자료는 분석기간 내 수치의 원인이 아니라 향후 연구량 지속 가능성을 확인하는 사후 환경자료로 구분함.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3.8 전략적 시사점 및 후속 장 연결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양자 분야는 월평균 200편의 안정적 고활동 연구영역이므로 연 1회 정적 보고보다 월별 업데이트와 3개월 이동평균 기반 상시 모니터링이 적합함.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최근 3개월 평균이 전체 평균을 상회하므로 제4장에서는 2026년 3~5월 증가분을 주 카테고리, 전체 카테고리, 복수 카테고리 조합으로 분해할 필요가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1차 고점(2025년 9~10월), 재반등(2025년 12월), 최근 고점(2026년 3~5월)의 기술 구성을 비교하면 일회성 이슈와 지속 성장 기술을 구분할 수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연구량 증가가 특정 저자·기관의 집중인지 글로벌 저변 확대인지 확인하기 위해 제5장의 연구 주체 분석과 월별 교차표를 구축해야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다기관·국제협력 비율이 피크 구간에서 상승하는지 확인하여 연구량 증가가 네트워크 확장에 기반하는지 제6장에서 검증해야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3-6. 본 장의 발견과 제4~7장 연결 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0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본 장의 발견</w:t>
            </w:r>
          </w:p>
        </w:tc>
        <w:tc>
          <w:tcPr>
            <w:tcW w:type="dxa" w:w="396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후속 분석</w:t>
            </w:r>
          </w:p>
        </w:tc>
        <w:tc>
          <w:tcPr>
            <w:tcW w:type="dxa" w:w="357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전략 활용</w:t>
            </w:r>
          </w:p>
        </w:tc>
      </w:tr>
      <w:tr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최근 3개월 평균 217.0편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2026.03~05의 증가 카테고리·키워드·토픽을 추출함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부상 기술 후보군을 도출함</w:t>
            </w:r>
          </w:p>
        </w:tc>
      </w:tr>
      <w:tr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피크가 여러 시점에 반복됨</w:t>
            </w:r>
          </w:p>
        </w:tc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2025.09~10, 2025.12, 2026.03~05의 공통 기술군을 비교함</w:t>
            </w:r>
          </w:p>
        </w:tc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지속 성장 기술과 이벤트성 기술을 구분함</w:t>
            </w:r>
          </w:p>
        </w:tc>
      </w:tr>
      <w:tr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저점 뒤 반등이 빠름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저점·고점 월의 저자·기관·국가 구성을 비교함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핵심 연구 허브와 회복 주체를 파악함</w:t>
            </w:r>
          </w:p>
        </w:tc>
      </w:tr>
      <w:tr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변동계수 11.1%</w:t>
            </w:r>
          </w:p>
        </w:tc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분야별·국가별 변동계수와 성장률을 비교함</w:t>
            </w:r>
          </w:p>
        </w:tc>
        <w:tc>
          <w:tcPr>
            <w:tcW w:type="dxa" w:w="34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안정 코어와 고변동 부상영역을 분리함</w:t>
            </w:r>
          </w:p>
        </w:tc>
      </w:tr>
      <w:tr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정책·시장 환경이 동시 강화됨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정책 발표·표준화·기술 이정표와 토픽 증가 시점을 매핑함</w:t>
            </w:r>
          </w:p>
        </w:tc>
        <w:tc>
          <w:tcPr>
            <w:tcW w:type="dxa" w:w="34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정량–정성 통합 모니터링 체계를 설계함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3.9 분석 한계 및 검증 과제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2025년 6월은 6월 6일부터 수집되어 완전월보다 최대 5일이 누락될 수 있으므로 전반기 증가율이 소폭 과대평가될 가능성을 명시함.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12개월 데이터만으로 계절성을 확정할 수 없으므로 연말연초·학회 일정 효과는 가설로 제시하고 최소 24~36개월 확장 분석으로 검증해야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arXiv 제출량은 연구활동의 선행 신호이나 동료평가 완료, 상용화 성과, 기술 품질을 직접 나타내지 않으므로 인용·DOI·특허·정책성과와 별도 연계해야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제목 검색식에 의해 양자화(quantization) 기반 컴퓨터과학 논문이 일부 포함될 수 있으므로 성장 월의 증가분은 초록·전문 기반 기술분류로 재확인해야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3-7. 한계요인과 보완 방향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한계요인</w:t>
            </w:r>
          </w:p>
        </w:tc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영향</w:t>
            </w:r>
          </w:p>
        </w:tc>
        <w:tc>
          <w:tcPr>
            <w:tcW w:type="dxa" w:w="30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현재 통제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보완 방향</w:t>
            </w:r>
          </w:p>
        </w:tc>
      </w:tr>
      <w:tr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2025년 6월 부분성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전반기 규모가 다소 작게 집계될 수 있음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지정 분석기간의 기준월로 포함하고 주석 처리함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일단위 보정 또는 2025.07~2026.05 민감도 분석을 병행함</w:t>
            </w:r>
          </w:p>
        </w:tc>
      </w:tr>
      <w:tr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12개월의 짧은 기간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계절성과 구조적 추세를 분리하기 어려움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3개월 이동평균과 6개월 비교를 사용함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24~36개월 장기 시계열로 확장함</w:t>
            </w:r>
          </w:p>
        </w:tc>
      </w:tr>
      <w:tr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프리프린트 중심성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품질·상용화 성과와 차이가 존재함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연구활동성 지표로 범위를 제한함</w:t>
            </w:r>
          </w:p>
        </w:tc>
        <w:tc>
          <w:tcPr>
            <w:tcW w:type="dxa" w:w="25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인용·저널게재·특허·과제 데이터와 연계함</w:t>
            </w:r>
          </w:p>
        </w:tc>
      </w:tr>
      <w:tr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검색식 범위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비핵심 양자화 논문이 유입될 수 있음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카테고리와 전문을 이용한 후속 점검을 전제함</w:t>
            </w:r>
          </w:p>
        </w:tc>
        <w:tc>
          <w:tcPr>
            <w:tcW w:type="dxa" w:w="25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기술분류 모델과 제외규칙을 구축함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3.10 본 장 소결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2026년 6월 부분월을 제외한 결과, 연구 규모는 12개월 2,400건·월평균 200.0편으로 확정되며 양자 분야는 안정적 고활동 연구영역으로 판단함.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후반 6개월은 전반기 대비 +5.0%, 최근 3개월은 직전 3개월 대비 +12.6% 증가하여 분석기간 말의 모멘텀이 강화된 것으로 나타남.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월별 흐름은 선형 급성장보다 고점–조정–재반등이 반복되는 계단형 성장 구조를 보이며, 2026년 4~5월은 각 220편으로 고점 안정화가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시장 상용화, 오류정정 진전, 국가전략과 공공투자, 독립 벤치마킹 확대가 안정적 연구량과 부합하는 외부환경으로 작용함.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다음 제4장에서는 최근 재상승 구간과 반복 피크 구간을 중심으로 양자물리(quant-ph), 컴퓨터과학, 응집물질, 광학, 암호·보안 등 분야·카테고리의 성장 기여도를 분석함.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참고자료</w:t>
      </w:r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[R1] </w:t>
      </w:r>
      <w:hyperlink r:id="rId17">
        <w:r>
          <w:rPr>
            <w:color w:val="0563C1"/>
            <w:u w:val="single"/>
          </w:rPr>
          <w:t>National Quantum Initiative, Annual Report FY2025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[R2] </w:t>
      </w:r>
      <w:hyperlink r:id="rId18">
        <w:r>
          <w:rPr>
            <w:color w:val="0563C1"/>
            <w:u w:val="single"/>
          </w:rPr>
          <w:t>European Commission, Quantum Europe Strategy, 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[R3] </w:t>
      </w:r>
      <w:hyperlink r:id="rId19">
        <w:r>
          <w:rPr>
            <w:color w:val="0563C1"/>
            <w:u w:val="single"/>
          </w:rPr>
          <w:t>McKinsey, Quantum Technology Monitor 2026: A Commercial Tipping Point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[R4] </w:t>
      </w:r>
      <w:hyperlink r:id="rId20">
        <w:r>
          <w:rPr>
            <w:color w:val="0563C1"/>
            <w:u w:val="single"/>
          </w:rPr>
          <w:t>Google Quantum AI and Collaborators, Quantum Error Correction Below the Surface Code Threshold, Nature 638, 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[R5] </w:t>
      </w:r>
      <w:hyperlink r:id="rId21">
        <w:r>
          <w:rPr>
            <w:color w:val="0563C1"/>
            <w:u w:val="single"/>
          </w:rPr>
          <w:t>IBM Quantum, Hardware and Roadmap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[R6] </w:t>
      </w:r>
      <w:hyperlink r:id="rId22">
        <w:r>
          <w:rPr>
            <w:color w:val="0563C1"/>
            <w:u w:val="single"/>
          </w:rPr>
          <w:t>DARPA, Quantum Benchmarking Initiative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[R7] </w:t>
      </w:r>
      <w:hyperlink r:id="rId23">
        <w:r>
          <w:rPr>
            <w:color w:val="0563C1"/>
            <w:u w:val="single"/>
          </w:rPr>
          <w:t>The White House, Executive Order 14413: Ushering in the Next Frontier of Quantum Innovation, 2026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[R8] </w:t>
      </w:r>
      <w:hyperlink r:id="rId24">
        <w:r>
          <w:rPr>
            <w:color w:val="0563C1"/>
            <w:u w:val="single"/>
          </w:rPr>
          <w:t>UK Government, National Quantum Strategy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65" w:bottom="765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B7280"/>
        <w:sz w:val="16"/>
      </w:rPr>
      <w:t xml:space="preserve">분석 기준: 2025.06~2026.05, 12개월·2,400건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맑은 고딕" w:hAnsi="맑은 고딕" w:eastAsia="맑은 고딕"/>
        <w:b/>
        <w:color w:val="17365D"/>
        <w:sz w:val="16"/>
      </w:rPr>
      <w:t>arXiv 양자 분야 논문 분석 | 제3장 연구 규모·성장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quantum.gov/wp-content/uploads/2024/12/NQI-Annual-Report-FY2025.pdf" TargetMode="External"/><Relationship Id="rId18" Type="http://schemas.openxmlformats.org/officeDocument/2006/relationships/hyperlink" Target="https://digital-strategy.ec.europa.eu/en/library/quantum-europe-strategy" TargetMode="External"/><Relationship Id="rId19" Type="http://schemas.openxmlformats.org/officeDocument/2006/relationships/hyperlink" Target="https://www.mckinsey.com/capabilities/mckinsey-technology/our-insights/mckinsey-quantum-technology-monitor-2026-a-commercial-tipping-point" TargetMode="External"/><Relationship Id="rId20" Type="http://schemas.openxmlformats.org/officeDocument/2006/relationships/hyperlink" Target="https://www.nature.com/articles/s41586-024-08449-y" TargetMode="External"/><Relationship Id="rId21" Type="http://schemas.openxmlformats.org/officeDocument/2006/relationships/hyperlink" Target="https://www.ibm.com/quantum/hardware" TargetMode="External"/><Relationship Id="rId22" Type="http://schemas.openxmlformats.org/officeDocument/2006/relationships/hyperlink" Target="https://www.darpa.mil/research/programs/quantum-benchmarking-initiative" TargetMode="External"/><Relationship Id="rId23" Type="http://schemas.openxmlformats.org/officeDocument/2006/relationships/hyperlink" Target="https://www.whitehouse.gov/presidential-actions/2026/06/ushering-in-the-next-frontier-of-quantum-innovation/" TargetMode="External"/><Relationship Id="rId24" Type="http://schemas.openxmlformats.org/officeDocument/2006/relationships/hyperlink" Target="https://www.gov.uk/government/publications/national-quantum-strate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arXiv 양자 분야 제3장 연구 규모·성장 분석</dc:title>
  <dc:subject>2025년 6월~2026년 5월, 12개월·2,400건 기준 정량·정성 통합 분석</dc:subject>
  <dc:creator>OpenAI</dc:creator>
  <cp:keywords>arXiv, 양자, 연구 규모, 성장 분석, 시장, 기술, 정책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