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 w:line="240" w:lineRule="auto"/>
      </w:pPr>
      <w:r>
        <w:rPr>
          <w:rFonts w:ascii="Calibri" w:hAnsi="Calibri" w:cs="Calibri"/>
          <w:b/>
          <w:color w:val="10243F"/>
          <w:sz w:val="34"/>
        </w:rPr>
        <w:t>Démonstration devant le professeur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8A6D1F"/>
          <w:sz w:val="21"/>
        </w:rPr>
        <w:t>Serveur MCP intelligent de Threat Intelligence · 7 scènes · environ 6 minutes</w:t>
      </w:r>
    </w:p>
    <w:p>
      <w:pPr>
        <w:spacing w:before="0" w:after="120" w:line="240" w:lineRule="auto"/>
      </w:pPr>
      <w:r>
        <w:rPr>
          <w:rFonts w:ascii="Calibri" w:hAnsi="Calibri" w:cs="Calibri"/>
          <w:color w:val="5A6676"/>
          <w:sz w:val="17"/>
        </w:rPr>
        <w:t>Mzabi Sirine · Khaled Ellif   |   encadrant : Tarek Hdji   |   données synthétiques, laboratoire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DF6F1"/>
          </w:tcPr>
          <w:p>
            <w:pPr>
              <w:spacing w:before="80" w:after="20" w:line="240" w:lineRule="auto"/>
            </w:pPr>
            <w:r/>
            <w:r>
              <w:rPr>
                <w:rFonts w:ascii="Calibri" w:hAnsi="Calibri" w:cs="Calibri"/>
                <w:b/>
                <w:color w:val="2E7D5B"/>
                <w:sz w:val="18"/>
              </w:rPr>
              <w:t>À faire 2 minutes avant</w:t>
            </w:r>
          </w:p>
          <w:p>
            <w:pPr>
              <w:spacing w:before="0" w:after="80" w:line="250" w:lineRule="auto"/>
            </w:pPr>
            <w:r>
              <w:rPr>
                <w:rFonts w:ascii="Calibri" w:hAnsi="Calibri" w:cs="Calibri"/>
                <w:color w:val="1F2A3A"/>
                <w:sz w:val="17"/>
              </w:rPr>
              <w:t>Ouvrir un terminal WSL, se placer dans le projet du Bureau puis lancer :  cd /mnt/c/Users/dell/Desktop/art/projet  &amp;&amp;  bash demo/lancer_demo.sh.  Variante atelier : cd /root/tekup-mcp-ti &amp;&amp; python3 scripts/demo_defense.py --present.  La démo utilise un laboratoire dédié (preuves/demo_prof) : elle ne modifie pas les preuves du rapport. Appuyer sur Entrée après chaque scène.</w:t>
            </w:r>
          </w:p>
        </w:tc>
      </w:tr>
    </w:tbl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3"/>
        </w:rPr>
        <w:t>1. Ce que vous dites, scène par scène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98"/>
        <w:gridCol w:w="3572"/>
        <w:gridCol w:w="794"/>
      </w:tblGrid>
      <w:tr>
        <w:tc>
          <w:tcPr>
            <w:tcW w:type="dxa" w:w="1474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5"/>
              </w:rPr>
              <w:t>Scène</w:t>
            </w:r>
          </w:p>
        </w:tc>
        <w:tc>
          <w:tcPr>
            <w:tcW w:type="dxa" w:w="379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5"/>
              </w:rPr>
              <w:t>Ce qui s'affiche</w:t>
            </w:r>
          </w:p>
        </w:tc>
        <w:tc>
          <w:tcPr>
            <w:tcW w:type="dxa" w:w="3572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5"/>
              </w:rPr>
              <w:t>Ce que vous dites</w:t>
            </w:r>
          </w:p>
        </w:tc>
        <w:tc>
          <w:tcPr>
            <w:tcW w:type="dxa" w:w="794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5"/>
              </w:rPr>
              <w:t>Durée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S1 · Découverte</w:t>
            </w:r>
          </w:p>
        </w:tc>
        <w:tc>
          <w:tcPr>
            <w:tcW w:type="dxa" w:w="37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Protocole 2025-06-18, serveur v1.0.0, six outils tous en lecture seule, volume de bulletins visibles.</w:t>
            </w:r>
          </w:p>
        </w:tc>
        <w:tc>
          <w:tcPr>
            <w:tcW w:type="dxa" w:w="357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Le serveur expose uniquement des outils de lecture ; aucune écriture n'est possible depuis MCP. »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40 s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S2 · Fuite bloquée</w:t>
            </w:r>
          </w:p>
        </w:tc>
        <w:tc>
          <w:tcPr>
            <w:tcW w:type="dxa" w:w="37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Jeton Confidentiel sur un bulletin Secret : refus, canari absent, journal deny / HABILITATION_INSUFFISANTE.</w:t>
            </w:r>
          </w:p>
        </w:tc>
        <w:tc>
          <w:tcPr>
            <w:tcW w:type="dxa" w:w="3572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Le niveau d'habilitation ne suffit pas : la demande est refusée et le canari ne fuit pas. »</w:t>
            </w:r>
          </w:p>
        </w:tc>
        <w:tc>
          <w:tcPr>
            <w:tcW w:type="dxa" w:w="7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50 s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S3 · Cloisonnement</w:t>
            </w:r>
          </w:p>
        </w:tc>
        <w:tc>
          <w:tcPr>
            <w:tcW w:type="dxa" w:w="37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Jeton Secret sans CRYPTO : refus, raison BESOIN_CONNAITRE_NON_SATISFAIT.</w:t>
            </w:r>
          </w:p>
        </w:tc>
        <w:tc>
          <w:tcPr>
            <w:tcW w:type="dxa" w:w="357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Même Secret, il manque le compartiment : le besoin d'en connaître est vérifié séparément. »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45 s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S4 · Accès autorisé</w:t>
            </w:r>
          </w:p>
        </w:tc>
        <w:tc>
          <w:tcPr>
            <w:tcW w:type="dxa" w:w="37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Jeton Secret + CRYPTO : bulletin livré, canari présent, décision allow.</w:t>
            </w:r>
          </w:p>
        </w:tc>
        <w:tc>
          <w:tcPr>
            <w:tcW w:type="dxa" w:w="3572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Le contrôle positif fonctionne : le canari apparaît seulement avec les bons droits. »</w:t>
            </w:r>
          </w:p>
        </w:tc>
        <w:tc>
          <w:tcPr>
            <w:tcW w:type="dxa" w:w="7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40 s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S5 · Injection</w:t>
            </w:r>
          </w:p>
        </w:tc>
        <w:tc>
          <w:tcPr>
            <w:tcW w:type="dxa" w:w="37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Bulletin ADV-2026-012 : fanions appel_outil, balise_active, exfiltration, ignorer_instructions ; instruction brute absente, marqueur de neutralisation présent.</w:t>
            </w:r>
          </w:p>
        </w:tc>
        <w:tc>
          <w:tcPr>
            <w:tcW w:type="dxa" w:w="357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L'instruction hostile est signalée et neutralisée ; elle n'est jamais exécutée ni livrée telle quelle. »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50 s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S6 · Audit chaîné</w:t>
            </w:r>
          </w:p>
        </w:tc>
        <w:tc>
          <w:tcPr>
            <w:tcW w:type="dxa" w:w="37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Journal valide, puis copie falsifiée : valide=False, rupture localisée, raison « empreinte invalide ».</w:t>
            </w:r>
          </w:p>
        </w:tc>
        <w:tc>
          <w:tcPr>
            <w:tcW w:type="dxa" w:w="3572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Le journal est chaîné : toute modification est détectée à la séquence près. »</w:t>
            </w:r>
          </w:p>
        </w:tc>
        <w:tc>
          <w:tcPr>
            <w:tcW w:type="dxa" w:w="7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50 s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S7 · Avant / après</w:t>
            </w:r>
          </w:p>
        </w:tc>
        <w:tc>
          <w:tcPr>
            <w:tcW w:type="dxa" w:w="37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Maquette naïve : canari=True et source en clair=True ; serveur durci : False / False ; contrôle positif True.</w:t>
            </w:r>
          </w:p>
        </w:tc>
        <w:tc>
          <w:tcPr>
            <w:tcW w:type="dxa" w:w="357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« Mêmes bulletins, deux serveurs : la maquette fuit, le serveur durci masque, refuse et journalise. »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color w:val="1F2A3A"/>
                <w:sz w:val="15"/>
              </w:rPr>
              <w:t>60 s</w:t>
            </w:r>
          </w:p>
        </w:tc>
      </w:tr>
    </w:tbl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3"/>
        </w:rPr>
        <w:t>2. Trois phrases à garder</w:t>
      </w:r>
    </w:p>
    <w:p>
      <w:pPr>
        <w:pStyle w:val="ListBullet"/>
        <w:spacing w:before="20" w:after="20" w:line="247" w:lineRule="auto"/>
      </w:pPr>
      <w:r>
        <w:rPr>
          <w:rFonts w:ascii="Calibri" w:hAnsi="Calibri" w:cs="Calibri"/>
          <w:b/>
          <w:color w:val="10243F"/>
          <w:sz w:val="18"/>
        </w:rPr>
        <w:t>Preuve, pas promesse</w:t>
      </w:r>
      <w:r>
        <w:rPr>
          <w:rFonts w:ascii="Calibri" w:hAnsi="Calibri" w:cs="Calibri"/>
          <w:color w:val="1F2A3A"/>
          <w:sz w:val="18"/>
        </w:rPr>
        <w:t xml:space="preserve"> — le canari, le refus et le journal rendent le contrôle vérifiable à l'écran.</w:t>
      </w:r>
    </w:p>
    <w:p>
      <w:pPr>
        <w:pStyle w:val="ListBullet"/>
        <w:spacing w:before="20" w:after="20" w:line="247" w:lineRule="auto"/>
      </w:pPr>
      <w:r>
        <w:rPr>
          <w:rFonts w:ascii="Calibri" w:hAnsi="Calibri" w:cs="Calibri"/>
          <w:b/>
          <w:color w:val="10243F"/>
          <w:sz w:val="18"/>
        </w:rPr>
        <w:t>Deux verrous</w:t>
      </w:r>
      <w:r>
        <w:rPr>
          <w:rFonts w:ascii="Calibri" w:hAnsi="Calibri" w:cs="Calibri"/>
          <w:color w:val="1F2A3A"/>
          <w:sz w:val="18"/>
        </w:rPr>
        <w:t xml:space="preserve"> — l'habilitation donne le niveau, le compartiment donne le besoin d'en connaître ; les deux sont contrôlés.</w:t>
      </w:r>
    </w:p>
    <w:p>
      <w:pPr>
        <w:pStyle w:val="ListBullet"/>
        <w:spacing w:before="20" w:after="20" w:line="247" w:lineRule="auto"/>
      </w:pPr>
      <w:r>
        <w:rPr>
          <w:rFonts w:ascii="Calibri" w:hAnsi="Calibri" w:cs="Calibri"/>
          <w:b/>
          <w:color w:val="10243F"/>
          <w:sz w:val="18"/>
        </w:rPr>
        <w:t>Journal d'abord</w:t>
      </w:r>
      <w:r>
        <w:rPr>
          <w:rFonts w:ascii="Calibri" w:hAnsi="Calibri" w:cs="Calibri"/>
          <w:color w:val="1F2A3A"/>
          <w:sz w:val="18"/>
        </w:rPr>
        <w:t xml:space="preserve"> — chaque appel — accepté ou refusé — laisse une entrée chaînée ; une falsification casse la chaîne.</w:t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3"/>
        </w:rPr>
        <w:t>3. Questions probables du jury</w:t>
      </w:r>
    </w:p>
    <w:p>
      <w:pPr>
        <w:spacing w:before="60" w:after="0" w:line="240" w:lineRule="auto"/>
      </w:pPr>
      <w:r>
        <w:rPr>
          <w:rFonts w:ascii="Calibri" w:hAnsi="Calibri" w:cs="Calibri"/>
          <w:b/>
          <w:color w:val="10243F"/>
          <w:sz w:val="18"/>
        </w:rPr>
        <w:t>Q. Pourquoi MCP plutôt qu'une API REST ?</w:t>
      </w:r>
    </w:p>
    <w:p>
      <w:pPr>
        <w:spacing w:before="0" w:after="40" w:line="247" w:lineRule="auto"/>
      </w:pPr>
      <w:r>
        <w:rPr>
          <w:rFonts w:ascii="Calibri" w:hAnsi="Calibri" w:cs="Calibri"/>
          <w:color w:val="1F2A3A"/>
          <w:sz w:val="17"/>
        </w:rPr>
        <w:t>MCP standardise la découverte et l'appel d'outils en JSON-RPC 2.0 ; les annotations readOnlyHint rendent le caractère lecture seule vérifiable par le client. Ici le transport est stdio local ; HTTP et mTLS sont des limites assumées, pas des acquis.</w:t>
      </w:r>
    </w:p>
    <w:p>
      <w:pPr>
        <w:spacing w:before="60" w:after="0" w:line="240" w:lineRule="auto"/>
      </w:pPr>
      <w:r>
        <w:rPr>
          <w:rFonts w:ascii="Calibri" w:hAnsi="Calibri" w:cs="Calibri"/>
          <w:b/>
          <w:color w:val="10243F"/>
          <w:sz w:val="18"/>
        </w:rPr>
        <w:t>Q. Comment prouvez-vous qu'un bulletin Secret ne fuit pas ?</w:t>
      </w:r>
    </w:p>
    <w:p>
      <w:pPr>
        <w:spacing w:before="0" w:after="40" w:line="247" w:lineRule="auto"/>
      </w:pPr>
      <w:r>
        <w:rPr>
          <w:rFonts w:ascii="Calibri" w:hAnsi="Calibri" w:cs="Calibri"/>
          <w:color w:val="1F2A3A"/>
          <w:sz w:val="17"/>
        </w:rPr>
        <w:t>Chaque bulletin Secret porte un canari unique. Il est absent des réponses refusées (S2, S3) et présent uniquement avec Secret + CRYPTO (S4). La décision et sa raison sont dans le journal chaîné.</w:t>
      </w:r>
    </w:p>
    <w:p>
      <w:pPr>
        <w:spacing w:before="60" w:after="0" w:line="240" w:lineRule="auto"/>
      </w:pPr>
      <w:r>
        <w:rPr>
          <w:rFonts w:ascii="Calibri" w:hAnsi="Calibri" w:cs="Calibri"/>
          <w:b/>
          <w:color w:val="10243F"/>
          <w:sz w:val="18"/>
        </w:rPr>
        <w:t>Q. Quelles sont les limites ?</w:t>
      </w:r>
    </w:p>
    <w:p>
      <w:pPr>
        <w:spacing w:before="0" w:after="40" w:line="247" w:lineRule="auto"/>
      </w:pPr>
      <w:r>
        <w:rPr>
          <w:rFonts w:ascii="Calibri" w:hAnsi="Calibri" w:cs="Calibri"/>
          <w:color w:val="1F2A3A"/>
          <w:sz w:val="17"/>
        </w:rPr>
        <w:t>Transport stdio local, pas de HTTP/mTLS, SQLite mono-nœud, jeu synthétique de 12 bulletins et 30 indicateurs, pas d'EDR réel. Le rapport nomme huit limites, chacune avec sa condition de levée.</w:t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3"/>
        </w:rPr>
        <w:t>4. Clôture et plan de secours</w:t>
      </w:r>
    </w:p>
    <w:p>
      <w:pPr>
        <w:spacing w:before="0" w:after="60" w:line="254" w:lineRule="auto"/>
      </w:pPr>
      <w:r>
        <w:rPr>
          <w:rFonts w:ascii="Calibri" w:hAnsi="Calibri" w:cs="Calibri"/>
          <w:color w:val="1F2A3A"/>
          <w:sz w:val="18"/>
        </w:rPr>
        <w:t>Phrase de clôture : « Le serveur ne promet pas la sécurité : il la rend vérifiable — chaque refus et chaque accès laissent une trace chaînée. 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0F0"/>
          </w:tcPr>
          <w:p>
            <w:pPr>
              <w:spacing w:before="80" w:after="20" w:line="240" w:lineRule="auto"/>
            </w:pPr>
            <w:r/>
            <w:r>
              <w:rPr>
                <w:rFonts w:ascii="Calibri" w:hAnsi="Calibri" w:cs="Calibri"/>
                <w:b/>
                <w:color w:val="A63B3B"/>
                <w:sz w:val="18"/>
              </w:rPr>
              <w:t>Si la démonstration ne démarre pas</w:t>
            </w:r>
          </w:p>
          <w:p>
            <w:pPr>
              <w:spacing w:before="0" w:after="80" w:line="250" w:lineRule="auto"/>
            </w:pPr>
            <w:r>
              <w:rPr>
                <w:rFonts w:ascii="Calibri" w:hAnsi="Calibri" w:cs="Calibri"/>
                <w:color w:val="1F2A3A"/>
                <w:sz w:val="17"/>
              </w:rPr>
              <w:t>Ouvrir le rapport, section 6.4 pages 24 à 27 (sept captures réelles), puis les PNG du dossier projet/captures. La vidéo Demo_MCP_Threat_Intelligence.mp4 (1 min 55, voix off) rejoue les sept scènes ; Demo_Architecture_MCP_TI.mp4 (1 min 37) présente les quatre zones et les huit points de contrôle ; Demo_Tests_MCP_TI.mp4 (34 s) filme la campagne réelle : 31 scénarios, puis vérification de la chaîne d'audit. En direct sur le poste : double-clic Lancer_Tests_Windows.bat (synthèse + audit, fenêtre maintenue). Notes simples sous chaque diapo : Deck_Soutenance_MCP_TI_notes.pdf.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5DBE3"/>
      </w:pBdr>
    </w:pPr>
    <w:r/>
    <w:r>
      <w:rPr>
        <w:rFonts w:ascii="Calibri" w:hAnsi="Calibri" w:cs="Calibri"/>
        <w:b/>
        <w:color w:val="10243F"/>
        <w:sz w:val="16"/>
      </w:rPr>
      <w:t>TEK-UP SSIR 2026-2027</w:t>
    </w:r>
    <w:r>
      <w:rPr>
        <w:rFonts w:ascii="Calibri" w:hAnsi="Calibri" w:cs="Calibri"/>
        <w:b w:val="0"/>
        <w:color w:val="5A6676"/>
        <w:sz w:val="16"/>
      </w:rPr>
      <w:t xml:space="preserve">   ·   Démonstration live — Serveur MCP de Threat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