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10243F"/>
          </w:tcPr>
          <w:p>
            <w:pPr>
              <w:spacing w:before="240" w:after="40" w:line="240" w:lineRule="auto"/>
            </w:pPr>
            <w:r/>
            <w:r>
              <w:rPr>
                <w:rFonts w:ascii="Calibri" w:hAnsi="Calibri" w:cs="Calibri"/>
                <w:b/>
                <w:color w:val="E8C96A"/>
                <w:sz w:val="16"/>
              </w:rPr>
              <w:t>NOTE DE SYNTHÈSE  ·  VERSION 1.0</w:t>
            </w:r>
          </w:p>
          <w:p>
            <w:pPr>
              <w:spacing w:before="40" w:after="40" w:line="245" w:lineRule="auto"/>
            </w:pPr>
            <w:r>
              <w:rPr>
                <w:rFonts w:ascii="Calibri" w:hAnsi="Calibri" w:cs="Calibri"/>
                <w:b/>
                <w:color w:val="FFFFFF"/>
                <w:sz w:val="50"/>
              </w:rPr>
              <w:t>Ce qui est testé,</w:t>
              <w:br/>
              <w:t>ce qui ne l'est pas</w:t>
            </w:r>
          </w:p>
          <w:p>
            <w:pPr>
              <w:spacing w:before="80" w:after="240" w:line="240" w:lineRule="auto"/>
            </w:pPr>
            <w:r>
              <w:rPr>
                <w:rFonts w:ascii="Calibri" w:hAnsi="Calibri" w:cs="Calibri"/>
                <w:color w:val="C9D5E3"/>
                <w:sz w:val="21"/>
              </w:rPr>
              <w:t>Serveur MCP intelligent de renseignement sur les menaces — TEK-UP SSIR</w:t>
            </w:r>
          </w:p>
        </w:tc>
      </w:tr>
    </w:tbl>
    <w:p>
      <w:pPr>
        <w:spacing w:before="160" w:after="120" w:line="240" w:lineRule="auto"/>
      </w:pPr>
      <w:r>
        <w:rPr>
          <w:rFonts w:ascii="Calibri" w:hAnsi="Calibri" w:cs="Calibri"/>
          <w:b w:val="0"/>
          <w:i w:val="0"/>
          <w:color w:val="1F2A3A"/>
          <w:sz w:val="19"/>
        </w:rPr>
        <w:t>Cette note ne remplace pas le rapport : elle isole ce qui a été réellement exécuté, ce qui reste déclaratif et ce qui n'a pas été testé. Elle est écrite pour le jury, puis pour l'équipe qui reprendra le projet : chaque affirmation renvoie à un fichier de preuve ou à une commande rejouable.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3F5F8"/>
          </w:tcPr>
          <w:p>
            <w:pPr>
              <w:spacing w:before="80" w:after="0" w:line="240" w:lineRule="auto"/>
            </w:pPr>
            <w:r/>
            <w:r>
              <w:rPr>
                <w:rFonts w:ascii="Calibri" w:hAnsi="Calibri" w:cs="Calibri"/>
                <w:b/>
                <w:color w:val="2E7D5B"/>
                <w:sz w:val="38"/>
              </w:rPr>
              <w:t>31 / 31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b/>
                <w:color w:val="10243F"/>
                <w:sz w:val="17"/>
              </w:rPr>
              <w:t>scénarios réussis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 w:cs="Calibri"/>
                <w:color w:val="5A6676"/>
                <w:sz w:val="14"/>
              </w:rPr>
              <w:t>0 échec</w:t>
            </w:r>
          </w:p>
        </w:tc>
        <w:tc>
          <w:tcPr>
            <w:tcW w:type="dxa" w:w="2466"/>
            <w:shd w:val="clear" w:color="auto" w:fill="F3F5F8"/>
          </w:tcPr>
          <w:p>
            <w:pPr>
              <w:spacing w:before="80" w:after="0" w:line="240" w:lineRule="auto"/>
            </w:pPr>
            <w:r/>
            <w:r>
              <w:rPr>
                <w:rFonts w:ascii="Calibri" w:hAnsi="Calibri" w:cs="Calibri"/>
                <w:b/>
                <w:color w:val="2E7D5B"/>
                <w:sz w:val="38"/>
              </w:rPr>
              <w:t>16 / 16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b/>
                <w:color w:val="10243F"/>
                <w:sz w:val="17"/>
              </w:rPr>
              <w:t>abus maîtrisés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 w:cs="Calibri"/>
                <w:color w:val="5A6676"/>
                <w:sz w:val="14"/>
              </w:rPr>
              <w:t>100 % de détection, aucune fuite</w:t>
            </w:r>
          </w:p>
        </w:tc>
        <w:tc>
          <w:tcPr>
            <w:tcW w:type="dxa" w:w="2466"/>
            <w:shd w:val="clear" w:color="auto" w:fill="F3F5F8"/>
          </w:tcPr>
          <w:p>
            <w:pPr>
              <w:spacing w:before="80" w:after="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38"/>
              </w:rPr>
              <w:t>12,42 ms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b/>
                <w:color w:val="10243F"/>
                <w:sz w:val="17"/>
              </w:rPr>
              <w:t>latence p95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 w:cs="Calibri"/>
                <w:color w:val="5A6676"/>
                <w:sz w:val="14"/>
              </w:rPr>
              <w:t>60 requêtes · cible ≤ 50 ms</w:t>
            </w:r>
          </w:p>
        </w:tc>
        <w:tc>
          <w:tcPr>
            <w:tcW w:type="dxa" w:w="2466"/>
            <w:shd w:val="clear" w:color="auto" w:fill="F3F5F8"/>
          </w:tcPr>
          <w:p>
            <w:pPr>
              <w:spacing w:before="80" w:after="0" w:line="240" w:lineRule="auto"/>
            </w:pPr>
            <w:r/>
            <w:r>
              <w:rPr>
                <w:rFonts w:ascii="Calibri" w:hAnsi="Calibri" w:cs="Calibri"/>
                <w:b/>
                <w:color w:val="8A6D1F"/>
                <w:sz w:val="38"/>
              </w:rPr>
              <w:t>8 → 0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 w:cs="Calibri"/>
                <w:b/>
                <w:color w:val="10243F"/>
                <w:sz w:val="17"/>
              </w:rPr>
              <w:t>faiblesses comparées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 w:cs="Calibri"/>
                <w:color w:val="5A6676"/>
                <w:sz w:val="14"/>
              </w:rPr>
              <w:t>maquette naïve → serveur durci</w:t>
            </w:r>
          </w:p>
        </w:tc>
      </w:tr>
    </w:tbl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9"/>
        </w:rPr>
        <w:t>1. Résultat d'ensemble</w:t>
      </w:r>
    </w:p>
    <w:p>
      <w:pPr>
        <w:spacing w:before="0" w:after="80" w:line="250" w:lineRule="auto"/>
      </w:pPr>
      <w:r>
        <w:rPr>
          <w:rFonts w:ascii="Calibri" w:hAnsi="Calibri" w:cs="Calibri"/>
          <w:b w:val="0"/>
          <w:i w:val="0"/>
          <w:color w:val="1F2A3A"/>
          <w:sz w:val="19"/>
        </w:rPr>
        <w:t>La campagne finale du 27 octobre 2026 a exécuté 31 scénarios sur le serveur durci. Les chiffres ci-dessous sont ceux du journal de campagne, pas des estimations.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3628"/>
        <w:gridCol w:w="2948"/>
      </w:tblGrid>
      <w:tr>
        <w:trPr>
          <w:tblHeader/>
        </w:trPr>
        <w:tc>
          <w:tcPr>
            <w:tcW w:type="dxa" w:w="1701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Indicateur</w:t>
            </w:r>
          </w:p>
        </w:tc>
        <w:tc>
          <w:tcPr>
            <w:tcW w:type="dxa" w:w="1587"/>
            <w:shd w:val="clear" w:color="auto" w:fill="10243F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Valeur</w:t>
            </w:r>
          </w:p>
        </w:tc>
        <w:tc>
          <w:tcPr>
            <w:tcW w:type="dxa" w:w="3628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Lecture</w:t>
            </w:r>
          </w:p>
        </w:tc>
        <w:tc>
          <w:tcPr>
            <w:tcW w:type="dxa" w:w="2948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Source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Scénarios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31 / 31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14 nominaux · 1 durcissement · 16 abus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preuves/logs/tests_latest.json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Abus</w:t>
            </w:r>
          </w:p>
        </w:tc>
        <w:tc>
          <w:tcPr>
            <w:tcW w:type="dxa" w:w="1587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16 / 16</w:t>
            </w:r>
          </w:p>
        </w:tc>
        <w:tc>
          <w:tcPr>
            <w:tcW w:type="dxa" w:w="362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100 % refusés ou neutralisés</w:t>
            </w:r>
          </w:p>
        </w:tc>
        <w:tc>
          <w:tcPr>
            <w:tcW w:type="dxa" w:w="294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mêmes preuves, catégorie abus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Latence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p95 12,42 ms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n = 60, audit actif, cible ≤ 50 ms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métriques de campagne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Révocation</w:t>
            </w:r>
          </w:p>
        </w:tc>
        <w:tc>
          <w:tcPr>
            <w:tcW w:type="dxa" w:w="1587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10,0 ms</w:t>
            </w:r>
          </w:p>
        </w:tc>
        <w:tc>
          <w:tcPr>
            <w:tcW w:type="dxa" w:w="362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sur la requête suivante</w:t>
            </w:r>
          </w:p>
        </w:tc>
        <w:tc>
          <w:tcPr>
            <w:tcW w:type="dxa" w:w="294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commande mesurée à 121,31 ms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Audit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115 / 115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116 entrées, chaîne valide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une erreur de protocole incluse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Injection</w:t>
            </w:r>
          </w:p>
        </w:tc>
        <w:tc>
          <w:tcPr>
            <w:tcW w:type="dxa" w:w="1587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3 / 3</w:t>
            </w:r>
          </w:p>
        </w:tc>
        <w:tc>
          <w:tcPr>
            <w:tcW w:type="dxa" w:w="362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0 faux positif sur 11 bulletins bénins</w:t>
            </w:r>
          </w:p>
        </w:tc>
        <w:tc>
          <w:tcPr>
            <w:tcW w:type="dxa" w:w="294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corpus unitaire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Comparaison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8 → 0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mêmes 8 contrôles, maquette puis serveur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baseline_naive.py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Durcissement</w:t>
            </w:r>
          </w:p>
        </w:tc>
        <w:tc>
          <w:tcPr>
            <w:tcW w:type="dxa" w:w="1587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uid 65534</w:t>
            </w:r>
          </w:p>
        </w:tc>
        <w:tc>
          <w:tcPr>
            <w:tcW w:type="dxa" w:w="362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base 0440, clé 0400, 0 port</w:t>
            </w:r>
          </w:p>
        </w:tc>
        <w:tc>
          <w:tcPr>
            <w:tcW w:type="dxa" w:w="294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setpriv, aucune écoute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Données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12 · 30 · 6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bulletins, indicateurs, actifs synthétiques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init-db, aucune donnée réelle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Outils</w:t>
            </w:r>
          </w:p>
        </w:tc>
        <w:tc>
          <w:tcPr>
            <w:tcW w:type="dxa" w:w="1587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6</w:t>
            </w:r>
          </w:p>
        </w:tc>
        <w:tc>
          <w:tcPr>
            <w:tcW w:type="dxa" w:w="362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lecture seule, découverte MCP</w:t>
            </w:r>
          </w:p>
        </w:tc>
        <w:tc>
          <w:tcPr>
            <w:tcW w:type="dxa" w:w="294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tools/list, readOnlyHint</w:t>
            </w:r>
          </w:p>
        </w:tc>
      </w:tr>
    </w:tbl>
    <w:p>
      <w:pPr>
        <w:spacing w:before="120" w:after="0" w:line="240" w:lineRule="auto"/>
      </w:pPr>
      <w:r>
        <w:rPr>
          <w:rFonts w:ascii="Calibri" w:hAnsi="Calibri" w:cs="Calibri"/>
          <w:b w:val="0"/>
          <w:i/>
          <w:color w:val="5A6676"/>
          <w:sz w:val="18"/>
        </w:rPr>
        <w:t>Lecture : le projet ne se contente pas de « fonctionner » ; il échoue proprement. Les 16 abus sont refusés avec un message générique, journalisés avec un motif distinct, et le journal reste vérifiable.</w:t>
      </w:r>
    </w:p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9"/>
        </w:rPr>
        <w:t>2. Statuts de livraison</w:t>
      </w:r>
    </w:p>
    <w:p>
      <w:pPr>
        <w:spacing w:before="40" w:after="60" w:line="240" w:lineRule="auto"/>
      </w:pPr>
      <w:r>
        <w:rPr>
          <w:rFonts w:ascii="Calibri" w:hAnsi="Calibri" w:cs="Calibri"/>
          <w:b/>
          <w:color w:val="5A6676"/>
          <w:sz w:val="16"/>
        </w:rPr>
        <w:t xml:space="preserve">Statuts utilisés dans ce document : </w:t>
      </w:r>
      <w:r>
        <w:rPr>
          <w:rFonts w:ascii="Calibri" w:hAnsi="Calibri" w:cs="Calibri"/>
          <w:b/>
          <w:color w:val="2E7D5B"/>
          <w:sz w:val="16"/>
        </w:rPr>
        <w:t xml:space="preserve">■ testé   </w:t>
      </w:r>
      <w:r>
        <w:rPr>
          <w:rFonts w:ascii="Calibri" w:hAnsi="Calibri" w:cs="Calibri"/>
          <w:b/>
          <w:color w:val="2B5C8A"/>
          <w:sz w:val="16"/>
        </w:rPr>
        <w:t xml:space="preserve">■ configuré   </w:t>
      </w:r>
      <w:r>
        <w:rPr>
          <w:rFonts w:ascii="Calibri" w:hAnsi="Calibri" w:cs="Calibri"/>
          <w:b/>
          <w:color w:val="8A6D1F"/>
          <w:sz w:val="16"/>
        </w:rPr>
        <w:t xml:space="preserve">■ proposé   </w:t>
      </w:r>
      <w:r>
        <w:rPr>
          <w:rFonts w:ascii="Calibri" w:hAnsi="Calibri" w:cs="Calibri"/>
          <w:b/>
          <w:color w:val="A63B3B"/>
          <w:sz w:val="16"/>
        </w:rPr>
        <w:t xml:space="preserve">■ déclaratif 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046"/>
        <w:gridCol w:w="3458"/>
      </w:tblGrid>
      <w:tr>
        <w:trPr>
          <w:tblHeader/>
        </w:trPr>
        <w:tc>
          <w:tcPr>
            <w:tcW w:type="dxa" w:w="1361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5046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Périmètre</w:t>
            </w:r>
          </w:p>
        </w:tc>
        <w:tc>
          <w:tcPr>
            <w:tcW w:type="dxa" w:w="3458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Preuve ou réserve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EDF6F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Testé</w:t>
            </w:r>
          </w:p>
        </w:tc>
        <w:tc>
          <w:tcPr>
            <w:tcW w:type="dxa" w:w="5046"/>
            <w:shd w:val="clear" w:color="auto" w:fill="EDF6F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serveur, ABAC, masquage, audit, révocation, durcissement</w:t>
            </w:r>
          </w:p>
        </w:tc>
        <w:tc>
          <w:tcPr>
            <w:tcW w:type="dxa" w:w="3458"/>
            <w:shd w:val="clear" w:color="auto" w:fill="EDF6F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31/31, 115/115, 8 → 0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Configuré</w:t>
            </w:r>
          </w:p>
        </w:tc>
        <w:tc>
          <w:tcPr>
            <w:tcW w:type="dxa" w:w="5046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base synthétique, 6 outils, journal local, sauvegardes</w:t>
            </w:r>
          </w:p>
        </w:tc>
        <w:tc>
          <w:tcPr>
            <w:tcW w:type="dxa" w:w="345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12/30/6, init-db, backups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BF6E3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Proposé</w:t>
            </w:r>
          </w:p>
        </w:tc>
        <w:tc>
          <w:tcPr>
            <w:tcW w:type="dxa" w:w="5046"/>
            <w:shd w:val="clear" w:color="auto" w:fill="FBF6E3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systemd, isolation réseau, HTTP/OAuth 2.1/mTLS, ancrage externe</w:t>
            </w:r>
          </w:p>
        </w:tc>
        <w:tc>
          <w:tcPr>
            <w:tcW w:type="dxa" w:w="3458"/>
            <w:shd w:val="clear" w:color="auto" w:fill="FBF6E3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écrits, non exécutés en production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BF0F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Déclaratif</w:t>
            </w:r>
          </w:p>
        </w:tc>
        <w:tc>
          <w:tcPr>
            <w:tcW w:type="dxa" w:w="5046"/>
            <w:shd w:val="clear" w:color="auto" w:fill="FBF0F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agent EDR, chiffrement de disque, posture</w:t>
            </w:r>
          </w:p>
        </w:tc>
        <w:tc>
          <w:tcPr>
            <w:tcW w:type="dxa" w:w="3458"/>
            <w:shd w:val="clear" w:color="auto" w:fill="FBF0F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signal déclaré, non attesté</w:t>
            </w:r>
          </w:p>
        </w:tc>
      </w:tr>
    </w:tbl>
    <w:p>
      <w:pPr>
        <w:spacing w:before="100" w:after="0" w:line="240" w:lineRule="auto"/>
      </w:pPr>
      <w:r>
        <w:rPr>
          <w:rFonts w:ascii="Calibri" w:hAnsi="Calibri" w:cs="Calibri"/>
          <w:b w:val="0"/>
          <w:i/>
          <w:color w:val="5A6676"/>
          <w:sz w:val="18"/>
        </w:rPr>
        <w:t>Un statut n'est ni une intention ni une promesse : « testé » signifie rejoué et mesuré ; « proposé » signifie écrit mais pas exécuté dans ce laboratoire.</w:t>
      </w:r>
    </w:p>
    <w:p>
      <w:r>
        <w:br w:type="page"/>
      </w:r>
    </w:p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9"/>
        </w:rPr>
        <w:t>3. Ce qui est testé</w:t>
      </w:r>
    </w:p>
    <w:p>
      <w:pPr>
        <w:spacing w:before="0" w:after="80" w:line="250" w:lineRule="auto"/>
      </w:pPr>
      <w:r>
        <w:rPr>
          <w:rFonts w:ascii="Calibri" w:hAnsi="Calibri" w:cs="Calibri"/>
          <w:b w:val="0"/>
          <w:i w:val="0"/>
          <w:color w:val="1F2A3A"/>
          <w:sz w:val="19"/>
        </w:rPr>
        <w:t>Les 31 scénarios se répartissent en huit familles. Chaque famille cite les exigences qu'elle valide ; le détail ligne à ligne figure dans le rapport et dans le JSON de campagne.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7"/>
        <w:gridCol w:w="4535"/>
        <w:gridCol w:w="2494"/>
      </w:tblGrid>
      <w:tr>
        <w:trPr>
          <w:tblHeader/>
        </w:trPr>
        <w:tc>
          <w:tcPr>
            <w:tcW w:type="dxa" w:w="2268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Famille</w:t>
            </w:r>
          </w:p>
        </w:tc>
        <w:tc>
          <w:tcPr>
            <w:tcW w:type="dxa" w:w="567"/>
            <w:shd w:val="clear" w:color="auto" w:fill="10243F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N</w:t>
            </w:r>
          </w:p>
        </w:tc>
        <w:tc>
          <w:tcPr>
            <w:tcW w:type="dxa" w:w="4535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Ce qui est prouvé</w:t>
            </w:r>
          </w:p>
        </w:tc>
        <w:tc>
          <w:tcPr>
            <w:tcW w:type="dxa" w:w="2494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Exigences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Protocole et outils</w:t>
            </w:r>
          </w:p>
        </w:tc>
        <w:tc>
          <w:tcPr>
            <w:tcW w:type="dxa" w:w="56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6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initialize, 6 outils en lecture seule, ressources filtrées, entrées invalides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EF-01, EF-10, EF-12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Habilitation et cloisonnement</w:t>
            </w:r>
          </w:p>
        </w:tc>
        <w:tc>
          <w:tcPr>
            <w:tcW w:type="dxa" w:w="567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10</w:t>
            </w:r>
          </w:p>
        </w:tc>
        <w:tc>
          <w:tcPr>
            <w:tcW w:type="dxa" w:w="4535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niveaux 0 à 3, compartiments, IDOR, rôle et finalité, recherche</w:t>
            </w:r>
          </w:p>
        </w:tc>
        <w:tc>
          <w:tcPr>
            <w:tcW w:type="dxa" w:w="249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EF-03, EF-06, EF-11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Masquage et injection</w:t>
            </w:r>
          </w:p>
        </w:tc>
        <w:tc>
          <w:tcPr>
            <w:tcW w:type="dxa" w:w="56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2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source Secret masquée, canari, consigne hostile neutralisée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EF-04, EF-05, ENF-12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Renseignement et score</w:t>
            </w:r>
          </w:p>
        </w:tc>
        <w:tc>
          <w:tcPr>
            <w:tcW w:type="dxa" w:w="567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3</w:t>
            </w:r>
          </w:p>
        </w:tc>
        <w:tc>
          <w:tcPr>
            <w:tcW w:type="dxa" w:w="4535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décroissance d'un indicateur, corrélation de famille, score explicable</w:t>
            </w:r>
          </w:p>
        </w:tc>
        <w:tc>
          <w:tcPr>
            <w:tcW w:type="dxa" w:w="249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EF-06, EF-07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Jetons et posture</w:t>
            </w:r>
          </w:p>
        </w:tc>
        <w:tc>
          <w:tcPr>
            <w:tcW w:type="dxa" w:w="56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5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jeton absent, expiré, altéré, révoqué ; poste non conforme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EF-02, EF-09, ENF-04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Audit et persistance</w:t>
            </w:r>
          </w:p>
        </w:tc>
        <w:tc>
          <w:tcPr>
            <w:tcW w:type="dxa" w:w="567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2</w:t>
            </w:r>
          </w:p>
        </w:tc>
        <w:tc>
          <w:tcPr>
            <w:tcW w:type="dxa" w:w="4535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redémarrage sans perte, falsification détectée</w:t>
            </w:r>
          </w:p>
        </w:tc>
        <w:tc>
          <w:tcPr>
            <w:tcW w:type="dxa" w:w="249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EF-08, ENF-08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Réseau, débit, dépendances</w:t>
            </w:r>
          </w:p>
        </w:tc>
        <w:tc>
          <w:tcPr>
            <w:tcW w:type="dxa" w:w="56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2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aucun client réseau, limiteur de débit, stdlib uniquement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EF-13, ENF-05, ENF-10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Durcissement</w:t>
            </w:r>
          </w:p>
        </w:tc>
        <w:tc>
          <w:tcPr>
            <w:tcW w:type="dxa" w:w="567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1</w:t>
            </w:r>
          </w:p>
        </w:tc>
        <w:tc>
          <w:tcPr>
            <w:tcW w:type="dxa" w:w="4535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uid 65534, base 0440, clé 0400, écriture refusée</w:t>
            </w:r>
          </w:p>
        </w:tc>
        <w:tc>
          <w:tcPr>
            <w:tcW w:type="dxa" w:w="249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ENF-06, ENF-07</w:t>
            </w:r>
          </w:p>
        </w:tc>
      </w:tr>
    </w:tbl>
    <w:p>
      <w:pPr>
        <w:spacing w:before="160" w:after="60" w:line="240" w:lineRule="auto"/>
      </w:pPr>
      <w:r>
        <w:rPr>
          <w:rFonts w:ascii="Calibri" w:hAnsi="Calibri" w:cs="Calibri"/>
          <w:b/>
          <w:color w:val="10243F"/>
          <w:sz w:val="21"/>
        </w:rPr>
        <w:t>Couverture des exigences</w:t>
      </w:r>
    </w:p>
    <w:p>
      <w:pPr>
        <w:spacing w:before="0" w:after="80" w:line="250" w:lineRule="auto"/>
      </w:pPr>
      <w:r>
        <w:rPr>
          <w:rFonts w:ascii="Calibri" w:hAnsi="Calibri" w:cs="Calibri"/>
          <w:b w:val="0"/>
          <w:i w:val="0"/>
          <w:color w:val="1F2A3A"/>
          <w:sz w:val="19"/>
        </w:rPr>
        <w:t>24 des 25 exigences (13 fonctionnelles, 12 non fonctionnelles) sont citées par au moins un scénario. La 25e, ENF-03 — 100 % des appels attendus journalisés — est vérifiée par la mesure d'audit et non par un scénario : 115 appels sur 115, 116 entrées dont une erreur de protocole, chaîne valide. Aucune exigence n'est laissée sans preuve.</w:t>
      </w:r>
    </w:p>
    <w:p>
      <w:pPr>
        <w:spacing w:before="0" w:after="80" w:line="250" w:lineRule="auto"/>
      </w:pPr>
      <w:r>
        <w:rPr>
          <w:rFonts w:ascii="Calibri" w:hAnsi="Calibri" w:cs="Calibri"/>
          <w:b w:val="0"/>
          <w:i w:val="0"/>
          <w:color w:val="1F2A3A"/>
          <w:sz w:val="18"/>
        </w:rPr>
        <w:t>Trois scénarios méritent d'être cités au jury : A06 et A07, qui tentent deux fuites distinctes — habilitation insuffisante puis défaut de cloisonnement — et A14, qui falsifie une copie du journal et vérifie que la rupture de séquence est détectée.</w:t>
      </w:r>
    </w:p>
    <w:p>
      <w:pPr>
        <w:spacing w:before="160" w:after="60" w:line="240" w:lineRule="auto"/>
      </w:pPr>
      <w:r>
        <w:rPr>
          <w:rFonts w:ascii="Calibri" w:hAnsi="Calibri" w:cs="Calibri"/>
          <w:b/>
          <w:color w:val="10243F"/>
          <w:sz w:val="21"/>
        </w:rPr>
        <w:t>Ce que le jury peut vérifier en séance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Fuite — </w:t>
      </w:r>
      <w:r>
        <w:rPr>
          <w:rFonts w:ascii="Calibri" w:hAnsi="Calibri" w:cs="Calibri"/>
          <w:b w:val="0"/>
          <w:i w:val="0"/>
          <w:color w:val="1F2A3A"/>
          <w:sz w:val="19"/>
        </w:rPr>
        <w:t>le jeton Confidentiel lit un bulletin Secret : refus générique, deux motifs distincts dans le journal.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Injection — </w:t>
      </w:r>
      <w:r>
        <w:rPr>
          <w:rFonts w:ascii="Calibri" w:hAnsi="Calibri" w:cs="Calibri"/>
          <w:b w:val="0"/>
          <w:i w:val="0"/>
          <w:color w:val="1F2A3A"/>
          <w:sz w:val="19"/>
        </w:rPr>
        <w:t>un bulletin partenaire contient une consigne hostile : elle est signalée et neutralisée avant livraison.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Audit — </w:t>
      </w:r>
      <w:r>
        <w:rPr>
          <w:rFonts w:ascii="Calibri" w:hAnsi="Calibri" w:cs="Calibri"/>
          <w:b w:val="0"/>
          <w:i w:val="0"/>
          <w:color w:val="1F2A3A"/>
          <w:sz w:val="19"/>
        </w:rPr>
        <w:t>la commande verify-audit renvoie ok=true, entries=116 ; une copie falsifiée casse la chaîne.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Durcissement — </w:t>
      </w:r>
      <w:r>
        <w:rPr>
          <w:rFonts w:ascii="Calibri" w:hAnsi="Calibri" w:cs="Calibri"/>
          <w:b w:val="0"/>
          <w:i w:val="0"/>
          <w:color w:val="1F2A3A"/>
          <w:sz w:val="19"/>
        </w:rPr>
        <w:t>le processus tourne sous uid 65534, la base est en 0440, la clé en 0400, aucun port n'écoute.</w:t>
      </w:r>
    </w:p>
    <w:p>
      <w:pPr>
        <w:spacing w:before="160" w:after="60" w:line="240" w:lineRule="auto"/>
      </w:pPr>
      <w:r>
        <w:rPr>
          <w:rFonts w:ascii="Calibri" w:hAnsi="Calibri" w:cs="Calibri"/>
          <w:b/>
          <w:color w:val="10243F"/>
          <w:sz w:val="21"/>
        </w:rPr>
        <w:t>Repères horodatés de la campagne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5386"/>
        <w:gridCol w:w="3628"/>
      </w:tblGrid>
      <w:tr>
        <w:trPr>
          <w:tblHeader/>
        </w:trPr>
        <w:tc>
          <w:tcPr>
            <w:tcW w:type="dxa" w:w="850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Heure</w:t>
            </w:r>
          </w:p>
        </w:tc>
        <w:tc>
          <w:tcPr>
            <w:tcW w:type="dxa" w:w="5386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Étape</w:t>
            </w:r>
          </w:p>
        </w:tc>
        <w:tc>
          <w:tcPr>
            <w:tcW w:type="dxa" w:w="3628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Preuve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13:08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Premier essai : échec réel de l'audit sur la deuxième écriture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iteration_01_echec_audit.txt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13:14</w:t>
            </w:r>
          </w:p>
        </w:tc>
        <w:tc>
          <w:tcPr>
            <w:tcW w:type="dxa" w:w="5386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Correction du décodage dans audit._last, puis rejeu</w:t>
            </w:r>
          </w:p>
        </w:tc>
        <w:tc>
          <w:tcPr>
            <w:tcW w:type="dxa" w:w="362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même trace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13:16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Campagne complète : 31/31, 16/16 abus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tests_latest.json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13:21</w:t>
            </w:r>
          </w:p>
        </w:tc>
        <w:tc>
          <w:tcPr>
            <w:tcW w:type="dxa" w:w="5386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Démonstration isolée : fuite bloquée</w:t>
            </w:r>
          </w:p>
        </w:tc>
        <w:tc>
          <w:tcPr>
            <w:tcW w:type="dxa" w:w="362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demo_transcript.txt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14:21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Captures et figures régénérées</w:t>
            </w:r>
          </w:p>
        </w:tc>
        <w:tc>
          <w:tcPr>
            <w:tcW w:type="dxa" w:w="362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preuves/captures, figures</w:t>
            </w:r>
          </w:p>
        </w:tc>
      </w:tr>
    </w:tbl>
    <w:p>
      <w:r>
        <w:br w:type="page"/>
      </w:r>
    </w:p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9"/>
        </w:rPr>
        <w:t>4. Ce qui n'est pas testé</w:t>
      </w:r>
    </w:p>
    <w:p>
      <w:pPr>
        <w:spacing w:before="0" w:after="80" w:line="250" w:lineRule="auto"/>
      </w:pPr>
      <w:r>
        <w:rPr>
          <w:rFonts w:ascii="Calibri" w:hAnsi="Calibri" w:cs="Calibri"/>
          <w:b w:val="0"/>
          <w:i w:val="0"/>
          <w:color w:val="1F2A3A"/>
          <w:sz w:val="19"/>
        </w:rPr>
        <w:t>Une limite nommée n'est pas un échec caché : c'est une condition de production identifiée. Le tableau donne la conséquence réelle et la façon de lever chaque limite.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1361"/>
        <w:gridCol w:w="3685"/>
        <w:gridCol w:w="2721"/>
      </w:tblGrid>
      <w:tr>
        <w:trPr>
          <w:tblHeader/>
        </w:trPr>
        <w:tc>
          <w:tcPr>
            <w:tcW w:type="dxa" w:w="2098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Limite</w:t>
            </w:r>
          </w:p>
        </w:tc>
        <w:tc>
          <w:tcPr>
            <w:tcW w:type="dxa" w:w="1361"/>
            <w:shd w:val="clear" w:color="auto" w:fill="10243F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3685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Conséquence</w:t>
            </w:r>
          </w:p>
        </w:tc>
        <w:tc>
          <w:tcPr>
            <w:tcW w:type="dxa" w:w="2721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Condition de levée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Isolation réseau par espace de noms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proposé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le test n'a pas été exécuté ; l'absence de client réseau est vérifiée statiquement</w:t>
            </w:r>
          </w:p>
        </w:tc>
        <w:tc>
          <w:tcPr>
            <w:tcW w:type="dxa" w:w="272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lancer le serveur sans interface et vérifier zéro socket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Agent EDR et chiffrement de disque</w:t>
            </w:r>
          </w:p>
        </w:tc>
        <w:tc>
          <w:tcPr>
            <w:tcW w:type="dxa" w:w="1361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déclaratif</w:t>
            </w:r>
          </w:p>
        </w:tc>
        <w:tc>
          <w:tcPr>
            <w:tcW w:type="dxa" w:w="3685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la posture est un signal déclaré, pas une preuve cryptographique</w:t>
            </w:r>
          </w:p>
        </w:tc>
        <w:tc>
          <w:tcPr>
            <w:tcW w:type="dxa" w:w="272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agent signé, attestation vérifiée, test de challenge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Ancrage externe du journal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absent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une réécriture complète par un attaquant root n'est pas exclue</w:t>
            </w:r>
          </w:p>
        </w:tc>
        <w:tc>
          <w:tcPr>
            <w:tcW w:type="dxa" w:w="272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horodatage signé externe ou support WORM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HTTP, OAuth 2.1, mTLS</w:t>
            </w:r>
          </w:p>
        </w:tc>
        <w:tc>
          <w:tcPr>
            <w:tcW w:type="dxa" w:w="1361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proposé</w:t>
            </w:r>
          </w:p>
        </w:tc>
        <w:tc>
          <w:tcPr>
            <w:tcW w:type="dxa" w:w="3685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le transport est stdio local, sans port ni fédération d'identité</w:t>
            </w:r>
          </w:p>
        </w:tc>
        <w:tc>
          <w:tcPr>
            <w:tcW w:type="dxa" w:w="272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passerelle HTTP, mTLS, OAuth, tests de rejeu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Charge et concurrence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non testé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60 requêtes locales sur un seul poste, pas de multi-clients</w:t>
            </w:r>
          </w:p>
        </w:tc>
        <w:tc>
          <w:tcPr>
            <w:tcW w:type="dxa" w:w="272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banc de charge, SQLite WAL ou serveur dédié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Données réelles</w:t>
            </w:r>
          </w:p>
        </w:tc>
        <w:tc>
          <w:tcPr>
            <w:tcW w:type="dxa" w:w="1361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hors périmètre</w:t>
            </w:r>
          </w:p>
        </w:tc>
        <w:tc>
          <w:tcPr>
            <w:tcW w:type="dxa" w:w="3685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jeu synthétique RFC 5737 et .example, aucune donnée client</w:t>
            </w:r>
          </w:p>
        </w:tc>
        <w:tc>
          <w:tcPr>
            <w:tcW w:type="dxa" w:w="272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anonymisation et accord de traitement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Détection d'injection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heuristique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3/3 sur le corpus, 0 faux positif sur 11, mais pas de garantie sémantique</w:t>
            </w:r>
          </w:p>
        </w:tc>
        <w:tc>
          <w:tcPr>
            <w:tcW w:type="dxa" w:w="272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corpus adversarial élargi, classification dédiée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Unité systemd</w:t>
            </w:r>
          </w:p>
        </w:tc>
        <w:tc>
          <w:tcPr>
            <w:tcW w:type="dxa" w:w="1361"/>
            <w:shd w:val="clear" w:color="auto" w:fill="F3F5F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proposé</w:t>
            </w:r>
          </w:p>
        </w:tc>
        <w:tc>
          <w:tcPr>
            <w:tcW w:type="dxa" w:w="3685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le service tourne par setpriv en laboratoire ; l'unité n'est pas installée</w:t>
            </w:r>
          </w:p>
        </w:tc>
        <w:tc>
          <w:tcPr>
            <w:tcW w:type="dxa" w:w="272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installer, activer, redémarrer, vérifier l'uid</w:t>
            </w:r>
          </w:p>
        </w:tc>
      </w:tr>
    </w:tbl>
    <w:p>
      <w:pPr>
        <w:spacing w:before="160" w:after="60" w:line="240" w:lineRule="auto"/>
      </w:pPr>
      <w:r>
        <w:rPr>
          <w:rFonts w:ascii="Calibri" w:hAnsi="Calibri" w:cs="Calibri"/>
          <w:b/>
          <w:color w:val="10243F"/>
          <w:sz w:val="21"/>
        </w:rPr>
        <w:t>Priorités avant toute production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Intégrité — </w:t>
      </w:r>
      <w:r>
        <w:rPr>
          <w:rFonts w:ascii="Calibri" w:hAnsi="Calibri" w:cs="Calibri"/>
          <w:b w:val="0"/>
          <w:i w:val="0"/>
          <w:color w:val="1F2A3A"/>
          <w:sz w:val="19"/>
        </w:rPr>
        <w:t>ancrer le journal à l'extérieur du poste, par horodatage signé ou support WORM.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Transport — </w:t>
      </w:r>
      <w:r>
        <w:rPr>
          <w:rFonts w:ascii="Calibri" w:hAnsi="Calibri" w:cs="Calibri"/>
          <w:b w:val="0"/>
          <w:i w:val="0"/>
          <w:color w:val="1F2A3A"/>
          <w:sz w:val="19"/>
        </w:rPr>
        <w:t>ajouter une passerelle HTTP avec mTLS et OAuth 2.1, puis rejouer les 16 abus.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Confiance — </w:t>
      </w:r>
      <w:r>
        <w:rPr>
          <w:rFonts w:ascii="Calibri" w:hAnsi="Calibri" w:cs="Calibri"/>
          <w:b w:val="0"/>
          <w:i w:val="0"/>
          <w:color w:val="1F2A3A"/>
          <w:sz w:val="19"/>
        </w:rPr>
        <w:t>remplacer la posture déclarative par un agent signé et un test de charge multi-clients.</w:t>
      </w:r>
    </w:p>
    <w:p>
      <w:pPr>
        <w:spacing w:before="120" w:after="0" w:line="240" w:lineRule="auto"/>
      </w:pPr>
      <w:r>
        <w:rPr>
          <w:rFonts w:ascii="Calibri" w:hAnsi="Calibri" w:cs="Calibri"/>
          <w:b w:val="0"/>
          <w:i/>
          <w:color w:val="5A6676"/>
          <w:sz w:val="18"/>
        </w:rPr>
        <w:t>Ces limites ne s'excusent pas : elles se citent avec leur condition de levée. Le serveur est sûr dans son périmètre de laboratoire, pas encore en production.</w:t>
      </w:r>
    </w:p>
    <w:p>
      <w:pPr>
        <w:spacing w:before="160" w:after="60" w:line="240" w:lineRule="auto"/>
      </w:pPr>
      <w:r>
        <w:rPr>
          <w:rFonts w:ascii="Calibri" w:hAnsi="Calibri" w:cs="Calibri"/>
          <w:b/>
          <w:color w:val="10243F"/>
          <w:sz w:val="21"/>
        </w:rPr>
        <w:t>Deux questions à anticiper</w:t>
      </w:r>
    </w:p>
    <w:p>
      <w:pPr>
        <w:spacing w:before="60" w:after="0" w:line="240" w:lineRule="auto"/>
      </w:pPr>
      <w:r>
        <w:rPr>
          <w:rFonts w:ascii="Calibri" w:hAnsi="Calibri" w:cs="Calibri"/>
          <w:b/>
          <w:color w:val="10243F"/>
          <w:sz w:val="19"/>
        </w:rPr>
        <w:t>Le journal est-il inviolable ?</w:t>
      </w:r>
    </w:p>
    <w:p>
      <w:pPr>
        <w:spacing w:before="0" w:after="40" w:line="247" w:lineRule="auto"/>
        <w:ind w:left="198"/>
      </w:pPr>
      <w:r>
        <w:rPr>
          <w:rFonts w:ascii="Calibri" w:hAnsi="Calibri" w:cs="Calibri"/>
          <w:b w:val="0"/>
          <w:i w:val="0"/>
          <w:color w:val="1F2A3A"/>
          <w:sz w:val="18"/>
        </w:rPr>
        <w:t>Non. La chaîne détecte une altération locale, pas une réécriture complète par un attaquant root. C'est pourquoi l'ancrage externe est la première priorité avant production.</w:t>
      </w:r>
    </w:p>
    <w:p>
      <w:pPr>
        <w:spacing w:before="60" w:after="0" w:line="240" w:lineRule="auto"/>
      </w:pPr>
      <w:r>
        <w:rPr>
          <w:rFonts w:ascii="Calibri" w:hAnsi="Calibri" w:cs="Calibri"/>
          <w:b/>
          <w:color w:val="10243F"/>
          <w:sz w:val="19"/>
        </w:rPr>
        <w:t>Pourquoi ne pas avoir testé HTTP ?</w:t>
      </w:r>
    </w:p>
    <w:p>
      <w:pPr>
        <w:spacing w:before="0" w:after="40" w:line="247" w:lineRule="auto"/>
        <w:ind w:left="198"/>
      </w:pPr>
      <w:r>
        <w:rPr>
          <w:rFonts w:ascii="Calibri" w:hAnsi="Calibri" w:cs="Calibri"/>
          <w:b w:val="0"/>
          <w:i w:val="0"/>
          <w:color w:val="1F2A3A"/>
          <w:sz w:val="18"/>
        </w:rPr>
        <w:t>Le transport stdio local réduit la surface et suffit à la démonstration. HTTP, OAuth 2.1 et mTLS sont proposés et documentés, pas revendiqués comme testés.</w:t>
      </w:r>
    </w:p>
    <w:p>
      <w:r>
        <w:br w:type="page"/>
      </w:r>
    </w:p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9"/>
        </w:rPr>
        <w:t>5. Conditions de rejeu</w:t>
      </w:r>
    </w:p>
    <w:p>
      <w:pPr>
        <w:spacing w:before="0" w:after="80" w:line="250" w:lineRule="auto"/>
      </w:pPr>
      <w:r>
        <w:rPr>
          <w:rFonts w:ascii="Calibri" w:hAnsi="Calibri" w:cs="Calibri"/>
          <w:b w:val="0"/>
          <w:i w:val="0"/>
          <w:color w:val="1F2A3A"/>
          <w:sz w:val="19"/>
        </w:rPr>
        <w:t>Les commandes ci-dessous partent du dossier du projet, sur la même machine que la campagne. Elles n'utilisent que la bibliothèque standard de Python 3.14.4.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6F8"/>
          </w:tcPr>
          <w:p>
            <w:pPr>
              <w:spacing w:before="100" w:after="20" w:line="240" w:lineRule="auto"/>
            </w:pPr>
            <w:r/>
            <w:r>
              <w:rPr>
                <w:rFonts w:ascii="Consolas" w:hAnsi="Consolas" w:cs="Consolas"/>
                <w:color w:val="10243F"/>
                <w:sz w:val="17"/>
              </w:rPr>
              <w:t>cd /root/tekup-mcp-ti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cs="Consolas"/>
                <w:color w:val="10243F"/>
                <w:sz w:val="17"/>
              </w:rPr>
              <w:t>python3 tests/run_tests.py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cs="Consolas"/>
                <w:color w:val="5A6676"/>
                <w:sz w:val="17"/>
              </w:rPr>
              <w:t># attendu : 31/31, 16/16 abus, p95 ≤ 50 ms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cs="Consolas"/>
                <w:color w:val="10243F"/>
                <w:sz w:val="17"/>
              </w:rPr>
              <w:t>python3 scripts/demo_defense.py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cs="Consolas"/>
                <w:color w:val="5A6676"/>
                <w:sz w:val="17"/>
              </w:rPr>
              <w:t># attendu : fuite bloquée, Secret autorisé, injection neutralisée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cs="Consolas"/>
                <w:color w:val="10243F"/>
                <w:sz w:val="17"/>
              </w:rPr>
              <w:t>python3 src/ti_cli.py verify-audit --path preuves/lab/audit.jsonl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cs="Consolas"/>
                <w:color w:val="5A6676"/>
                <w:sz w:val="17"/>
              </w:rPr>
              <w:t># attendu : ok=true, entries=116</w:t>
            </w:r>
          </w:p>
        </w:tc>
      </w:tr>
    </w:tbl>
    <w:p>
      <w:pPr>
        <w:spacing w:before="160" w:after="60" w:line="240" w:lineRule="auto"/>
      </w:pPr>
      <w:r>
        <w:rPr>
          <w:rFonts w:ascii="Calibri" w:hAnsi="Calibri" w:cs="Calibri"/>
          <w:b/>
          <w:color w:val="10243F"/>
          <w:sz w:val="21"/>
        </w:rPr>
        <w:t>Pièces jointes et traces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494"/>
      </w:tblGrid>
      <w:tr>
        <w:trPr>
          <w:tblHeader/>
        </w:trPr>
        <w:tc>
          <w:tcPr>
            <w:tcW w:type="dxa" w:w="2268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Fichier</w:t>
            </w:r>
          </w:p>
        </w:tc>
        <w:tc>
          <w:tcPr>
            <w:tcW w:type="dxa" w:w="5102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Contenu</w:t>
            </w:r>
          </w:p>
        </w:tc>
        <w:tc>
          <w:tcPr>
            <w:tcW w:type="dxa" w:w="2494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Dossier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tests_latest.json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31 scénarios, métriques, limites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preuves/logs/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metrics_latest.json</w:t>
            </w:r>
          </w:p>
        </w:tc>
        <w:tc>
          <w:tcPr>
            <w:tcW w:type="dxa" w:w="5102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latence, révocation, audit, injection</w:t>
            </w:r>
          </w:p>
        </w:tc>
        <w:tc>
          <w:tcPr>
            <w:tcW w:type="dxa" w:w="249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preuves/logs/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demo_transcript.txt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démonstration de fuite bloquée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preuves/logs/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01 à 07_*.png</w:t>
            </w:r>
          </w:p>
        </w:tc>
        <w:tc>
          <w:tcPr>
            <w:tcW w:type="dxa" w:w="5102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7 captures d'écran réelles du terminal</w:t>
            </w:r>
          </w:p>
        </w:tc>
        <w:tc>
          <w:tcPr>
            <w:tcW w:type="dxa" w:w="2494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preuves/captures_ecran/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7"/>
              </w:rPr>
              <w:t>audit.jsonl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journal chaîné, 116 entrées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7"/>
              </w:rPr>
              <w:t>preuves/lab/</w:t>
            </w:r>
          </w:p>
        </w:tc>
      </w:tr>
    </w:tbl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9"/>
        </w:rPr>
        <w:t>6. Ce que l'équipe retient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Journal d'abord — </w:t>
      </w:r>
      <w:r>
        <w:rPr>
          <w:rFonts w:ascii="Calibri" w:hAnsi="Calibri" w:cs="Calibri"/>
          <w:b w:val="0"/>
          <w:i w:val="0"/>
          <w:color w:val="1F2A3A"/>
          <w:sz w:val="19"/>
        </w:rPr>
        <w:t>un contrôle non journalisé n'est pas un contrôle : l'échec fermé a dicté la conception du journal avant celle des outils.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Décider et étiqueter ensemble — </w:t>
      </w:r>
      <w:r>
        <w:rPr>
          <w:rFonts w:ascii="Calibri" w:hAnsi="Calibri" w:cs="Calibri"/>
          <w:b w:val="0"/>
          <w:i w:val="0"/>
          <w:color w:val="1F2A3A"/>
          <w:sz w:val="19"/>
        </w:rPr>
        <w:t>masquer à la sortie ne suffit pas ; la décision d'accès et l'étiquette doivent être calculées au même endroit.</w:t>
      </w:r>
    </w:p>
    <w:p>
      <w:pPr>
        <w:spacing w:before="20" w:after="20" w:line="250" w:lineRule="auto"/>
        <w:ind w:left="255" w:hanging="255"/>
      </w:pPr>
      <w:r>
        <w:rPr>
          <w:rFonts w:ascii="Calibri" w:hAnsi="Calibri" w:cs="Calibri"/>
          <w:b/>
          <w:color w:val="8A6D1F"/>
          <w:sz w:val="19"/>
        </w:rPr>
        <w:t xml:space="preserve">• </w:t>
      </w:r>
      <w:r>
        <w:rPr>
          <w:rFonts w:ascii="Calibri" w:hAnsi="Calibri" w:cs="Calibri"/>
          <w:b/>
          <w:color w:val="10243F"/>
          <w:sz w:val="19"/>
        </w:rPr>
        <w:t xml:space="preserve">Garder la maquette — </w:t>
      </w:r>
      <w:r>
        <w:rPr>
          <w:rFonts w:ascii="Calibri" w:hAnsi="Calibri" w:cs="Calibri"/>
          <w:b w:val="0"/>
          <w:i w:val="0"/>
          <w:color w:val="1F2A3A"/>
          <w:sz w:val="19"/>
        </w:rPr>
        <w:t>la version naïve a été conservée pour mesurer les 8 faiblesses, pas seulement pour montrer le résultat final.</w:t>
      </w:r>
    </w:p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9"/>
        </w:rPr>
        <w:t>7. Dossier remis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216"/>
        <w:gridCol w:w="2608"/>
      </w:tblGrid>
      <w:tr>
        <w:trPr>
          <w:tblHeader/>
        </w:trPr>
        <w:tc>
          <w:tcPr>
            <w:tcW w:type="dxa" w:w="2041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Livrable</w:t>
            </w:r>
          </w:p>
        </w:tc>
        <w:tc>
          <w:tcPr>
            <w:tcW w:type="dxa" w:w="5216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Contenu</w:t>
            </w:r>
          </w:p>
        </w:tc>
        <w:tc>
          <w:tcPr>
            <w:tcW w:type="dxa" w:w="2608"/>
            <w:shd w:val="clear" w:color="auto" w:fill="10243F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FFFFFF"/>
                <w:sz w:val="16"/>
              </w:rPr>
              <w:t>Dossier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Rapport PFE</w:t>
            </w:r>
          </w:p>
        </w:tc>
        <w:tc>
          <w:tcPr>
            <w:tcW w:type="dxa" w:w="5216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35 pages, DOCX + PDF, sommaire, figures et tableaux numérotés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docs/rapport/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Deck de soutenance</w:t>
            </w:r>
          </w:p>
        </w:tc>
        <w:tc>
          <w:tcPr>
            <w:tcW w:type="dxa" w:w="5216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16 diapositives, PPTX + PDF, notes orales et questions jury</w:t>
            </w:r>
          </w:p>
        </w:tc>
        <w:tc>
          <w:tcPr>
            <w:tcW w:type="dxa" w:w="260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docs/deck/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Conducteur</w:t>
            </w:r>
          </w:p>
        </w:tc>
        <w:tc>
          <w:tcPr>
            <w:tcW w:type="dxa" w:w="5216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19 pages A4, une page par diapositive, plan de secours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docs/deck/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Note de synthèse</w:t>
            </w:r>
          </w:p>
        </w:tc>
        <w:tc>
          <w:tcPr>
            <w:tcW w:type="dxa" w:w="5216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ce document, 4 pages, DOCX + PDF</w:t>
            </w:r>
          </w:p>
        </w:tc>
        <w:tc>
          <w:tcPr>
            <w:tcW w:type="dxa" w:w="2608"/>
            <w:shd w:val="clear" w:color="auto" w:fill="F3F5F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docs/note_synthese/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/>
                <w:color w:val="10243F"/>
                <w:sz w:val="16"/>
              </w:rPr>
              <w:t>Preuves</w:t>
            </w:r>
          </w:p>
        </w:tc>
        <w:tc>
          <w:tcPr>
            <w:tcW w:type="dxa" w:w="5216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7 captures réelles, 31 tests, journaux JSON, audit chaîné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</w:pPr>
            <w:r/>
            <w:r>
              <w:rPr>
                <w:rFonts w:ascii="Calibri" w:hAnsi="Calibri" w:cs="Calibri"/>
                <w:b w:val="0"/>
                <w:color w:val="1F2A3A"/>
                <w:sz w:val="16"/>
              </w:rPr>
              <w:t>preuves/</w:t>
            </w:r>
          </w:p>
        </w:tc>
      </w:tr>
    </w:tbl>
    <w:p>
      <w:pPr>
        <w:spacing w:before="200" w:after="80" w:line="240" w:lineRule="auto"/>
        <w:pBdr>
          <w:bottom w:val="single" w:sz="8" w:space="3" w:color="C9A227"/>
        </w:pBdr>
      </w:pPr>
      <w:r>
        <w:rPr>
          <w:rFonts w:ascii="Calibri" w:hAnsi="Calibri" w:cs="Calibri"/>
          <w:b/>
          <w:color w:val="10243F"/>
          <w:sz w:val="29"/>
        </w:rPr>
        <w:t>8. Conclusion</w:t>
      </w:r>
    </w:p>
    <w:p>
      <w:pPr>
        <w:spacing w:before="0" w:after="80" w:line="250" w:lineRule="auto"/>
      </w:pPr>
      <w:r>
        <w:rPr>
          <w:rFonts w:ascii="Calibri" w:hAnsi="Calibri" w:cs="Calibri"/>
          <w:b w:val="0"/>
          <w:i w:val="0"/>
          <w:color w:val="1F2A3A"/>
          <w:sz w:val="19"/>
        </w:rPr>
        <w:t>Le projet est défendable sur ce qu'il prouve : 31 scénarios, 16 abus maîtrisés, 8 faiblesses neutralisées, 115 appels journalisés sur 115, et un durcissement vérifié. Il ne prétend pas être prêt pour la production : huit limites sont nommées, dont quatre directement techniques, et chacune a sa condition de levée. La soutenance doit dire les deux, sans masquer l'un par l'autre.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BF6E3"/>
          </w:tcPr>
          <w:p>
            <w:pPr>
              <w:spacing w:before="80" w:after="80" w:line="240" w:lineRule="auto"/>
            </w:pPr>
            <w:r/>
            <w:r>
              <w:rPr>
                <w:rFonts w:ascii="Calibri" w:hAnsi="Calibri" w:cs="Calibri"/>
                <w:b/>
                <w:color w:val="8A6D1F"/>
                <w:sz w:val="16"/>
              </w:rPr>
              <w:t xml:space="preserve">Phrase à retenir  </w:t>
            </w:r>
            <w:r>
              <w:rPr>
                <w:rFonts w:ascii="Calibri" w:hAnsi="Calibri" w:cs="Calibri"/>
                <w:b/>
                <w:color w:val="10243F"/>
                <w:sz w:val="19"/>
              </w:rPr>
              <w:t>« Le secret n'est pas une promesse de politique : c'est une propriété testée, et les limites restantes sont nommées. »</w:t>
            </w:r>
          </w:p>
        </w:tc>
      </w:tr>
    </w:tbl>
    <w:p>
      <w:pPr>
        <w:spacing w:before="320" w:after="40" w:line="240" w:lineRule="auto"/>
      </w:pPr>
      <w:r>
        <w:rPr>
          <w:rFonts w:ascii="Calibri" w:hAnsi="Calibri" w:cs="Calibri"/>
          <w:b/>
          <w:color w:val="10243F"/>
          <w:sz w:val="21"/>
        </w:rPr>
        <w:t>Mzabi Sirine  ·  Khaled Ellif</w:t>
      </w:r>
    </w:p>
    <w:p>
      <w:pPr>
        <w:spacing w:before="20" w:after="160" w:line="240" w:lineRule="auto"/>
        <w:jc w:val="center"/>
      </w:pPr>
      <w:r>
        <w:rPr>
          <w:rFonts w:ascii="Calibri" w:hAnsi="Calibri" w:cs="Calibri"/>
          <w:color w:val="5A6676"/>
          <w:sz w:val="18"/>
        </w:rPr>
        <w:t>Encadrant académique : Tarek Hdji</w:t>
      </w:r>
    </w:p>
    <w:p>
      <w:pPr>
        <w:spacing w:before="0" w:after="0" w:line="240" w:lineRule="auto"/>
      </w:pPr>
      <w:r>
        <w:rPr>
          <w:rFonts w:ascii="Calibri" w:hAnsi="Calibri" w:cs="Calibri"/>
          <w:color w:val="5A6676"/>
          <w:sz w:val="17"/>
        </w:rPr>
        <w:t>TEK-UP — Spécialité SSIR · 27 octobre 2026 · Version 1.0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794" w:left="1020" w:header="397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</w:pPr>
    <w:r/>
    <w:r>
      <w:rPr>
        <w:rFonts w:ascii="Calibri" w:hAnsi="Calibri" w:cs="Calibri"/>
        <w:color w:val="5A6676"/>
        <w:sz w:val="15"/>
      </w:rPr>
      <w:t>Mzabi Sirine · Khaled Ellif — dossier preuves/ joint</w:t>
    </w:r>
    <w:r>
      <w:rPr>
        <w:rFonts w:ascii="Calibri" w:hAnsi="Calibri" w:cs="Calibri"/>
        <w:color w:val="5A6676"/>
        <w:sz w:val="15"/>
      </w:rPr>
      <w:tab/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cs="Calibri"/>
        <w:color w:val="5A6676"/>
        <w:sz w:val="15"/>
      </w:rPr>
      <w:t>1</w:t>
    </w:r>
    <w:r>
      <w:fldChar w:fldCharType="end"/>
    </w:r>
    <w:r>
      <w:rPr>
        <w:rFonts w:ascii="Calibri" w:hAnsi="Calibri" w:cs="Calibri"/>
        <w:color w:val="5A6676"/>
        <w:sz w:val="15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 w:cs="Calibri"/>
        <w:color w:val="5A6676"/>
        <w:sz w:val="15"/>
      </w:rPr>
      <w:t>4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5DBE3"/>
      </w:pBdr>
      <w:tabs>
        <w:tab w:pos="9865" w:val="right"/>
      </w:tabs>
    </w:pPr>
    <w:r/>
    <w:r>
      <w:rPr>
        <w:rFonts w:ascii="Calibri" w:hAnsi="Calibri" w:cs="Calibri"/>
        <w:color w:val="5A6676"/>
        <w:sz w:val="15"/>
      </w:rPr>
      <w:t>Note de synthèse — MCP Threat Intelligence</w:t>
    </w:r>
    <w:r>
      <w:rPr>
        <w:rFonts w:ascii="Calibri" w:hAnsi="Calibri" w:cs="Calibri"/>
        <w:color w:val="5A6676"/>
        <w:sz w:val="15"/>
      </w:rPr>
      <w:tab/>
      <w:t>TEK-UP · SSIR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